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AA2417">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仿宋_GB2312" w:hAnsi="仿宋_GB2312" w:eastAsia="仿宋_GB2312" w:cs="仿宋_GB2312"/>
          <w:b w:val="0"/>
          <w:bCs w:val="0"/>
          <w:i w:val="0"/>
          <w:iCs w:val="0"/>
          <w:caps w:val="0"/>
          <w:color w:val="000000"/>
          <w:spacing w:val="0"/>
          <w:sz w:val="32"/>
          <w:szCs w:val="32"/>
          <w:highlight w:val="none"/>
        </w:rPr>
      </w:pPr>
    </w:p>
    <w:p w14:paraId="2BBE9BAC">
      <w:pPr>
        <w:spacing w:line="600" w:lineRule="exact"/>
        <w:jc w:val="center"/>
        <w:rPr>
          <w:rFonts w:ascii="方正小标宋简体" w:hAnsi="方正小标宋简体" w:eastAsia="方正小标宋简体" w:cs="方正小标宋简体"/>
          <w:sz w:val="44"/>
          <w:szCs w:val="44"/>
          <w:highlight w:val="none"/>
        </w:rPr>
      </w:pPr>
    </w:p>
    <w:p w14:paraId="26925E76">
      <w:pPr>
        <w:spacing w:line="600" w:lineRule="exact"/>
        <w:jc w:val="center"/>
        <w:rPr>
          <w:rFonts w:hint="eastAsia" w:ascii="楷体_GB2312" w:hAnsi="楷体_GB2312" w:eastAsia="楷体_GB2312" w:cs="楷体_GB2312"/>
          <w:b/>
          <w:bCs/>
          <w:sz w:val="32"/>
          <w:szCs w:val="32"/>
          <w:highlight w:val="none"/>
        </w:rPr>
      </w:pPr>
      <w:r>
        <w:rPr>
          <w:rFonts w:hint="eastAsia" w:ascii="方正小标宋简体" w:hAnsi="方正小标宋简体" w:eastAsia="方正小标宋简体" w:cs="方正小标宋简体"/>
          <w:sz w:val="44"/>
          <w:szCs w:val="44"/>
          <w:highlight w:val="none"/>
        </w:rPr>
        <w:t>石家庄市医疗卫生设施规划建设管理条例</w:t>
      </w:r>
    </w:p>
    <w:p w14:paraId="07C0EC34">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highlight w:val="none"/>
          <w:lang w:val="en-US" w:eastAsia="zh-CN"/>
        </w:rPr>
      </w:pPr>
    </w:p>
    <w:p w14:paraId="279F60CC">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w:t>
      </w:r>
      <w:r>
        <w:rPr>
          <w:rFonts w:hint="eastAsia" w:ascii="楷体" w:hAnsi="楷体" w:eastAsia="楷体" w:cs="楷体"/>
          <w:sz w:val="32"/>
          <w:szCs w:val="32"/>
          <w:highlight w:val="none"/>
        </w:rPr>
        <w:t>201</w:t>
      </w:r>
      <w:r>
        <w:rPr>
          <w:rFonts w:hint="eastAsia" w:ascii="楷体" w:hAnsi="楷体" w:eastAsia="楷体" w:cs="楷体"/>
          <w:sz w:val="32"/>
          <w:szCs w:val="32"/>
          <w:highlight w:val="none"/>
          <w:lang w:val="en-US" w:eastAsia="zh-CN"/>
        </w:rPr>
        <w:t>2</w:t>
      </w:r>
      <w:r>
        <w:rPr>
          <w:rFonts w:hint="eastAsia" w:ascii="楷体" w:hAnsi="楷体" w:eastAsia="楷体" w:cs="楷体"/>
          <w:sz w:val="32"/>
          <w:szCs w:val="32"/>
          <w:highlight w:val="none"/>
        </w:rPr>
        <w:t>年</w:t>
      </w:r>
      <w:r>
        <w:rPr>
          <w:rFonts w:hint="eastAsia" w:ascii="楷体" w:hAnsi="楷体" w:eastAsia="楷体" w:cs="楷体"/>
          <w:sz w:val="32"/>
          <w:szCs w:val="32"/>
          <w:highlight w:val="none"/>
          <w:lang w:val="en-US" w:eastAsia="zh-CN"/>
        </w:rPr>
        <w:t>12</w:t>
      </w:r>
      <w:r>
        <w:rPr>
          <w:rFonts w:hint="eastAsia" w:ascii="楷体" w:hAnsi="楷体" w:eastAsia="楷体" w:cs="楷体"/>
          <w:sz w:val="32"/>
          <w:szCs w:val="32"/>
          <w:highlight w:val="none"/>
        </w:rPr>
        <w:t>月</w:t>
      </w:r>
      <w:r>
        <w:rPr>
          <w:rFonts w:hint="eastAsia" w:ascii="楷体" w:hAnsi="楷体" w:eastAsia="楷体" w:cs="楷体"/>
          <w:sz w:val="32"/>
          <w:szCs w:val="32"/>
          <w:highlight w:val="none"/>
          <w:lang w:val="en-US" w:eastAsia="zh-CN"/>
        </w:rPr>
        <w:t>18</w:t>
      </w:r>
      <w:r>
        <w:rPr>
          <w:rFonts w:hint="eastAsia" w:ascii="楷体" w:hAnsi="楷体" w:eastAsia="楷体" w:cs="楷体"/>
          <w:sz w:val="32"/>
          <w:szCs w:val="32"/>
          <w:highlight w:val="none"/>
        </w:rPr>
        <w:t>日石</w:t>
      </w:r>
      <w:bookmarkStart w:id="0" w:name="_GoBack"/>
      <w:bookmarkEnd w:id="0"/>
      <w:r>
        <w:rPr>
          <w:rFonts w:hint="eastAsia" w:ascii="楷体" w:hAnsi="楷体" w:eastAsia="楷体" w:cs="楷体"/>
          <w:sz w:val="32"/>
          <w:szCs w:val="32"/>
          <w:highlight w:val="none"/>
        </w:rPr>
        <w:t>家庄市第十二届人民代表大会</w:t>
      </w:r>
    </w:p>
    <w:p w14:paraId="06071CD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常务委员会第</w:t>
      </w:r>
      <w:r>
        <w:rPr>
          <w:rFonts w:hint="eastAsia" w:ascii="楷体" w:hAnsi="楷体" w:eastAsia="楷体" w:cs="楷体"/>
          <w:sz w:val="32"/>
          <w:szCs w:val="32"/>
          <w:highlight w:val="none"/>
          <w:lang w:eastAsia="zh-CN"/>
        </w:rPr>
        <w:t>三十九</w:t>
      </w:r>
      <w:r>
        <w:rPr>
          <w:rFonts w:hint="eastAsia" w:ascii="楷体" w:hAnsi="楷体" w:eastAsia="楷体" w:cs="楷体"/>
          <w:sz w:val="32"/>
          <w:szCs w:val="32"/>
          <w:highlight w:val="none"/>
        </w:rPr>
        <w:t>次会议通过</w:t>
      </w:r>
    </w:p>
    <w:p w14:paraId="172EEE3D">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201</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年</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月</w:t>
      </w:r>
      <w:r>
        <w:rPr>
          <w:rFonts w:hint="eastAsia" w:ascii="楷体" w:hAnsi="楷体" w:eastAsia="楷体" w:cs="楷体"/>
          <w:sz w:val="32"/>
          <w:szCs w:val="32"/>
          <w:highlight w:val="none"/>
          <w:lang w:val="en-US" w:eastAsia="zh-CN"/>
        </w:rPr>
        <w:t>30</w:t>
      </w:r>
      <w:r>
        <w:rPr>
          <w:rFonts w:hint="eastAsia" w:ascii="楷体" w:hAnsi="楷体" w:eastAsia="楷体" w:cs="楷体"/>
          <w:sz w:val="32"/>
          <w:szCs w:val="32"/>
          <w:highlight w:val="none"/>
        </w:rPr>
        <w:t>日河北省第十</w:t>
      </w:r>
      <w:r>
        <w:rPr>
          <w:rFonts w:hint="eastAsia" w:ascii="楷体" w:hAnsi="楷体" w:eastAsia="楷体" w:cs="楷体"/>
          <w:sz w:val="32"/>
          <w:szCs w:val="32"/>
          <w:highlight w:val="none"/>
          <w:lang w:eastAsia="zh-CN"/>
        </w:rPr>
        <w:t>二</w:t>
      </w:r>
      <w:r>
        <w:rPr>
          <w:rFonts w:hint="eastAsia" w:ascii="楷体" w:hAnsi="楷体" w:eastAsia="楷体" w:cs="楷体"/>
          <w:sz w:val="32"/>
          <w:szCs w:val="32"/>
          <w:highlight w:val="none"/>
        </w:rPr>
        <w:t>届人民代表大会</w:t>
      </w:r>
    </w:p>
    <w:p w14:paraId="165F39D1">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常务委员会第</w:t>
      </w:r>
      <w:r>
        <w:rPr>
          <w:rFonts w:hint="eastAsia" w:ascii="楷体" w:hAnsi="楷体" w:eastAsia="楷体" w:cs="楷体"/>
          <w:sz w:val="32"/>
          <w:szCs w:val="32"/>
          <w:highlight w:val="none"/>
          <w:lang w:eastAsia="zh-CN"/>
        </w:rPr>
        <w:t>一</w:t>
      </w:r>
      <w:r>
        <w:rPr>
          <w:rFonts w:hint="eastAsia" w:ascii="楷体" w:hAnsi="楷体" w:eastAsia="楷体" w:cs="楷体"/>
          <w:sz w:val="32"/>
          <w:szCs w:val="32"/>
          <w:highlight w:val="none"/>
        </w:rPr>
        <w:t>次会议批准</w:t>
      </w:r>
    </w:p>
    <w:p w14:paraId="69AF4285">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lang w:val="en-US" w:eastAsia="zh-CN"/>
        </w:rPr>
        <w:t>2024年</w:t>
      </w:r>
      <w:r>
        <w:rPr>
          <w:rFonts w:hint="eastAsia" w:ascii="楷体" w:hAnsi="楷体" w:eastAsia="楷体" w:cs="楷体"/>
          <w:b w:val="0"/>
          <w:bCs w:val="0"/>
          <w:sz w:val="32"/>
          <w:szCs w:val="32"/>
          <w:highlight w:val="none"/>
          <w:u w:val="none"/>
          <w:lang w:eastAsia="zh-CN"/>
        </w:rPr>
        <w:t>10月29日石家庄</w:t>
      </w:r>
      <w:r>
        <w:rPr>
          <w:rFonts w:hint="eastAsia" w:ascii="楷体" w:hAnsi="楷体" w:eastAsia="楷体" w:cs="楷体"/>
          <w:b w:val="0"/>
          <w:bCs w:val="0"/>
          <w:sz w:val="32"/>
          <w:szCs w:val="32"/>
          <w:highlight w:val="none"/>
          <w:u w:val="none"/>
          <w:lang w:val="en-US" w:eastAsia="zh-CN"/>
        </w:rPr>
        <w:t>市第十五届</w:t>
      </w:r>
      <w:r>
        <w:rPr>
          <w:rFonts w:hint="eastAsia" w:ascii="楷体" w:hAnsi="楷体" w:eastAsia="楷体" w:cs="楷体"/>
          <w:sz w:val="32"/>
          <w:szCs w:val="32"/>
          <w:highlight w:val="none"/>
        </w:rPr>
        <w:t>人民代表大会</w:t>
      </w:r>
    </w:p>
    <w:p w14:paraId="63AE64B6">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b w:val="0"/>
          <w:bCs w:val="0"/>
          <w:sz w:val="32"/>
          <w:szCs w:val="32"/>
          <w:highlight w:val="none"/>
          <w:u w:val="none"/>
          <w:lang w:val="en-US" w:eastAsia="zh-CN"/>
        </w:rPr>
      </w:pPr>
      <w:r>
        <w:rPr>
          <w:rFonts w:hint="eastAsia" w:ascii="楷体" w:hAnsi="楷体" w:eastAsia="楷体" w:cs="楷体"/>
          <w:sz w:val="32"/>
          <w:szCs w:val="32"/>
          <w:highlight w:val="none"/>
        </w:rPr>
        <w:t>常务委员会</w:t>
      </w:r>
      <w:r>
        <w:rPr>
          <w:rFonts w:hint="eastAsia" w:ascii="楷体" w:hAnsi="楷体" w:eastAsia="楷体" w:cs="楷体"/>
          <w:b w:val="0"/>
          <w:bCs w:val="0"/>
          <w:sz w:val="32"/>
          <w:szCs w:val="32"/>
          <w:highlight w:val="none"/>
          <w:u w:val="none"/>
          <w:lang w:val="en-US" w:eastAsia="zh-CN"/>
        </w:rPr>
        <w:t>第二十九次会议修订</w:t>
      </w:r>
    </w:p>
    <w:p w14:paraId="542B5D2A">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20</w:t>
      </w:r>
      <w:r>
        <w:rPr>
          <w:rFonts w:hint="eastAsia" w:ascii="楷体" w:hAnsi="楷体" w:eastAsia="楷体" w:cs="楷体"/>
          <w:sz w:val="32"/>
          <w:szCs w:val="32"/>
          <w:highlight w:val="none"/>
          <w:lang w:val="en-US" w:eastAsia="zh-CN"/>
        </w:rPr>
        <w:t>25</w:t>
      </w:r>
      <w:r>
        <w:rPr>
          <w:rFonts w:hint="eastAsia" w:ascii="楷体" w:hAnsi="楷体" w:eastAsia="楷体" w:cs="楷体"/>
          <w:sz w:val="32"/>
          <w:szCs w:val="32"/>
          <w:highlight w:val="none"/>
        </w:rPr>
        <w:t>年</w:t>
      </w:r>
      <w:r>
        <w:rPr>
          <w:rFonts w:hint="eastAsia" w:ascii="楷体" w:hAnsi="楷体" w:eastAsia="楷体" w:cs="楷体"/>
          <w:sz w:val="32"/>
          <w:szCs w:val="32"/>
          <w:highlight w:val="none"/>
          <w:lang w:val="en-US" w:eastAsia="zh-CN"/>
        </w:rPr>
        <w:t>3</w:t>
      </w:r>
      <w:r>
        <w:rPr>
          <w:rFonts w:hint="eastAsia" w:ascii="楷体" w:hAnsi="楷体" w:eastAsia="楷体" w:cs="楷体"/>
          <w:sz w:val="32"/>
          <w:szCs w:val="32"/>
          <w:highlight w:val="none"/>
        </w:rPr>
        <w:t>月</w:t>
      </w:r>
      <w:r>
        <w:rPr>
          <w:rFonts w:hint="eastAsia" w:ascii="楷体" w:hAnsi="楷体" w:eastAsia="楷体" w:cs="楷体"/>
          <w:sz w:val="32"/>
          <w:szCs w:val="32"/>
          <w:highlight w:val="none"/>
          <w:lang w:val="en-US" w:eastAsia="zh-CN"/>
        </w:rPr>
        <w:t>27</w:t>
      </w:r>
      <w:r>
        <w:rPr>
          <w:rFonts w:hint="eastAsia" w:ascii="楷体" w:hAnsi="楷体" w:eastAsia="楷体" w:cs="楷体"/>
          <w:sz w:val="32"/>
          <w:szCs w:val="32"/>
          <w:highlight w:val="none"/>
        </w:rPr>
        <w:t>日河北省第十</w:t>
      </w:r>
      <w:r>
        <w:rPr>
          <w:rFonts w:hint="eastAsia" w:ascii="楷体" w:hAnsi="楷体" w:eastAsia="楷体" w:cs="楷体"/>
          <w:sz w:val="32"/>
          <w:szCs w:val="32"/>
          <w:highlight w:val="none"/>
          <w:lang w:eastAsia="zh-CN"/>
        </w:rPr>
        <w:t>四</w:t>
      </w:r>
      <w:r>
        <w:rPr>
          <w:rFonts w:hint="eastAsia" w:ascii="楷体" w:hAnsi="楷体" w:eastAsia="楷体" w:cs="楷体"/>
          <w:sz w:val="32"/>
          <w:szCs w:val="32"/>
          <w:highlight w:val="none"/>
        </w:rPr>
        <w:t>届人民代表大会</w:t>
      </w:r>
    </w:p>
    <w:p w14:paraId="5B4553EE">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rPr>
        <w:t>常务委员会第</w:t>
      </w:r>
      <w:r>
        <w:rPr>
          <w:rFonts w:hint="eastAsia" w:ascii="楷体" w:hAnsi="楷体" w:eastAsia="楷体" w:cs="楷体"/>
          <w:sz w:val="32"/>
          <w:szCs w:val="32"/>
          <w:highlight w:val="none"/>
          <w:lang w:val="en-US" w:eastAsia="zh-CN"/>
        </w:rPr>
        <w:t>十四次</w:t>
      </w:r>
      <w:r>
        <w:rPr>
          <w:rFonts w:hint="eastAsia" w:ascii="楷体" w:hAnsi="楷体" w:eastAsia="楷体" w:cs="楷体"/>
          <w:sz w:val="32"/>
          <w:szCs w:val="32"/>
          <w:highlight w:val="none"/>
        </w:rPr>
        <w:t>会议批准</w:t>
      </w:r>
      <w:r>
        <w:rPr>
          <w:rFonts w:hint="eastAsia" w:ascii="楷体" w:hAnsi="楷体" w:eastAsia="楷体" w:cs="楷体"/>
          <w:sz w:val="32"/>
          <w:szCs w:val="32"/>
          <w:highlight w:val="none"/>
          <w:lang w:val="en-US" w:eastAsia="zh-CN"/>
        </w:rPr>
        <w:t>)</w:t>
      </w:r>
    </w:p>
    <w:p w14:paraId="73E464F0">
      <w:pPr>
        <w:spacing w:line="600" w:lineRule="exact"/>
        <w:jc w:val="center"/>
        <w:rPr>
          <w:rFonts w:ascii="方正小标宋简体" w:hAnsi="方正小标宋简体" w:eastAsia="方正小标宋简体" w:cs="方正小标宋简体"/>
          <w:sz w:val="44"/>
          <w:szCs w:val="44"/>
          <w:highlight w:val="none"/>
        </w:rPr>
      </w:pPr>
    </w:p>
    <w:p w14:paraId="65DB9350">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第一</w:t>
      </w:r>
      <w:r>
        <w:rPr>
          <w:rFonts w:hint="eastAsia" w:ascii="黑体" w:hAnsi="黑体" w:eastAsia="黑体" w:cs="方正小标宋简体"/>
          <w:sz w:val="32"/>
          <w:szCs w:val="32"/>
          <w:highlight w:val="none"/>
          <w:lang w:eastAsia="zh-CN"/>
        </w:rPr>
        <w:t>条</w:t>
      </w:r>
      <w:r>
        <w:rPr>
          <w:rFonts w:hint="eastAsia" w:ascii="黑体" w:hAnsi="黑体" w:eastAsia="黑体" w:cs="方正小标宋简体"/>
          <w:sz w:val="32"/>
          <w:szCs w:val="32"/>
          <w:highlight w:val="none"/>
          <w:lang w:val="en-US" w:eastAsia="zh-CN"/>
        </w:rPr>
        <w:t xml:space="preserve">  </w:t>
      </w:r>
      <w:r>
        <w:rPr>
          <w:rFonts w:hint="eastAsia" w:ascii="仿宋" w:hAnsi="仿宋" w:eastAsia="仿宋" w:cs="方正小标宋简体"/>
          <w:sz w:val="32"/>
          <w:szCs w:val="32"/>
          <w:highlight w:val="none"/>
        </w:rPr>
        <w:t>为了加强医疗卫生设施规划和建设管理，合理配置和有效利用医疗卫生资源，满足人民群众医疗卫生服务需求，促进医疗卫生事业发展，根据《中华人民共和国城乡规划法》、《中华人民共和国土地管理法》、《中华人民共和国基本医疗卫生与健康促进法》等有关法律、法规，结合本市实际，制定本条例。</w:t>
      </w:r>
    </w:p>
    <w:p w14:paraId="012B1758">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第二</w:t>
      </w:r>
      <w:r>
        <w:rPr>
          <w:rFonts w:hint="eastAsia" w:ascii="黑体" w:hAnsi="黑体" w:eastAsia="黑体" w:cs="方正小标宋简体"/>
          <w:sz w:val="32"/>
          <w:szCs w:val="32"/>
          <w:highlight w:val="none"/>
          <w:lang w:eastAsia="zh-CN"/>
        </w:rPr>
        <w:t xml:space="preserve">条  </w:t>
      </w:r>
      <w:r>
        <w:rPr>
          <w:rFonts w:hint="eastAsia" w:ascii="仿宋" w:hAnsi="仿宋" w:eastAsia="仿宋" w:cs="方正小标宋简体"/>
          <w:sz w:val="32"/>
          <w:szCs w:val="32"/>
          <w:highlight w:val="none"/>
        </w:rPr>
        <w:t>本市行政区域内医疗卫生设施的规划、建设和管理适用本条例。</w:t>
      </w:r>
    </w:p>
    <w:p w14:paraId="5AB79EDB">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本条例所称医疗卫生设施，是指由各级人民政府或者社会资本投资建设的，为社会提供医疗和公共卫生服务的医疗卫生机构的建筑物及其附属配套设施。</w:t>
      </w:r>
    </w:p>
    <w:p w14:paraId="7A749E89">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医疗卫生设施的规划、建设和管理应当遵循统筹安排、合理布局、配置优化、平急结合、方便群众的原则。</w:t>
      </w:r>
    </w:p>
    <w:p w14:paraId="0C76A88B">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三条  </w:t>
      </w:r>
      <w:r>
        <w:rPr>
          <w:rFonts w:hint="eastAsia" w:ascii="仿宋" w:hAnsi="仿宋" w:eastAsia="仿宋" w:cs="方正小标宋简体"/>
          <w:sz w:val="32"/>
          <w:szCs w:val="32"/>
          <w:highlight w:val="none"/>
        </w:rPr>
        <w:t>县级以上人民政府</w:t>
      </w:r>
      <w:r>
        <w:rPr>
          <w:rFonts w:hint="eastAsia" w:ascii="仿宋" w:hAnsi="仿宋" w:eastAsia="仿宋" w:cs="方正小标宋简体"/>
          <w:sz w:val="32"/>
          <w:szCs w:val="32"/>
          <w:highlight w:val="none"/>
          <w:lang w:eastAsia="zh-CN"/>
        </w:rPr>
        <w:t>应当</w:t>
      </w:r>
      <w:r>
        <w:rPr>
          <w:rFonts w:hint="eastAsia" w:ascii="仿宋" w:hAnsi="仿宋" w:eastAsia="仿宋" w:cs="方正小标宋简体"/>
          <w:sz w:val="32"/>
          <w:szCs w:val="32"/>
          <w:highlight w:val="none"/>
        </w:rPr>
        <w:t>加强对本行政区域内医疗卫生设施的规划、建设和管理工作领导，将医疗卫生设施的规划、建设和管理工作纳入国民经济和社会发展规划，协调解决相关重大问题。</w:t>
      </w:r>
    </w:p>
    <w:p w14:paraId="63C11A95">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四条  </w:t>
      </w:r>
      <w:r>
        <w:rPr>
          <w:rFonts w:hint="eastAsia" w:ascii="仿宋" w:hAnsi="仿宋" w:eastAsia="仿宋" w:cs="方正小标宋简体"/>
          <w:sz w:val="32"/>
          <w:szCs w:val="32"/>
          <w:highlight w:val="none"/>
        </w:rPr>
        <w:t>县级以上人民政府卫生健康主管部门会同有关部门负责本条例的组织实施。</w:t>
      </w:r>
    </w:p>
    <w:p w14:paraId="0F1A9164">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发展改革、财政、自然资源和规划、生态环境、住房城乡建设、行政审批等部门应当按照各自职责，做好医疗卫生设施的规划、建设和管理相关工作。</w:t>
      </w:r>
    </w:p>
    <w:p w14:paraId="220870D0">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五条  </w:t>
      </w:r>
      <w:r>
        <w:rPr>
          <w:rFonts w:hint="eastAsia" w:ascii="仿宋" w:hAnsi="仿宋" w:eastAsia="仿宋" w:cs="方正小标宋简体"/>
          <w:sz w:val="32"/>
          <w:szCs w:val="32"/>
          <w:highlight w:val="none"/>
        </w:rPr>
        <w:t>任何单位和个人有权举报违反医疗卫生设施规划、建设和管理的行为，相关部门应当及时受理并组织查处。</w:t>
      </w:r>
    </w:p>
    <w:p w14:paraId="723CF583">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六条  </w:t>
      </w:r>
      <w:r>
        <w:rPr>
          <w:rFonts w:hint="eastAsia" w:ascii="仿宋" w:hAnsi="仿宋" w:eastAsia="仿宋" w:cs="方正小标宋简体"/>
          <w:sz w:val="32"/>
          <w:szCs w:val="32"/>
          <w:highlight w:val="none"/>
        </w:rPr>
        <w:t>县级以上人民政府卫生健康主管部门应当按照职责权限会同自然资源和规划部门，依据国土空间规划编制本级医疗卫生设施规划，并与医疗卫生服务体系规划相衔接。</w:t>
      </w:r>
    </w:p>
    <w:p w14:paraId="24022A6C">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七条  </w:t>
      </w:r>
      <w:r>
        <w:rPr>
          <w:rFonts w:hint="eastAsia" w:ascii="仿宋" w:hAnsi="仿宋" w:eastAsia="仿宋" w:cs="方正小标宋简体"/>
          <w:sz w:val="32"/>
          <w:szCs w:val="32"/>
          <w:highlight w:val="none"/>
        </w:rPr>
        <w:t>医疗卫生设施规划应当明确适用期限、范围和医疗卫生设施的总体布局、设置标准、建设用地保障及其他相关内容。</w:t>
      </w:r>
    </w:p>
    <w:p w14:paraId="3CC50617">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八条  </w:t>
      </w:r>
      <w:r>
        <w:rPr>
          <w:rFonts w:hint="eastAsia" w:ascii="仿宋" w:hAnsi="仿宋" w:eastAsia="仿宋" w:cs="方正小标宋简体"/>
          <w:sz w:val="32"/>
          <w:szCs w:val="32"/>
          <w:highlight w:val="none"/>
        </w:rPr>
        <w:t>编制医疗卫生设施规划，应当充分调查研究，综合考虑规划行政区域内的城乡发展、人口居住状况、医疗需求等因素，合理规划医疗卫生资源的分配和布局。</w:t>
      </w:r>
    </w:p>
    <w:p w14:paraId="262A66B1">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w:t>
      </w:r>
      <w:r>
        <w:rPr>
          <w:rFonts w:hint="eastAsia" w:ascii="黑体" w:hAnsi="黑体" w:eastAsia="黑体" w:cs="方正小标宋简体"/>
          <w:sz w:val="32"/>
          <w:szCs w:val="32"/>
          <w:highlight w:val="none"/>
          <w:lang w:eastAsia="zh-CN"/>
        </w:rPr>
        <w:t xml:space="preserve">九条  </w:t>
      </w:r>
      <w:r>
        <w:rPr>
          <w:rFonts w:hint="eastAsia" w:ascii="仿宋" w:hAnsi="仿宋" w:eastAsia="仿宋" w:cs="方正小标宋简体"/>
          <w:sz w:val="32"/>
          <w:szCs w:val="32"/>
          <w:highlight w:val="none"/>
        </w:rPr>
        <w:t>医疗卫生设施规划应当报同级人民政府批准后实施。</w:t>
      </w:r>
    </w:p>
    <w:p w14:paraId="08A9A606">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经批准的医疗卫生设施规划应当严格执行，不得擅自修改；因城市总体规划调整、国家医疗卫生资源配置政策调整、突发重大公共卫生事件和其他公共利益需要确需修改的，应当按照原批准程序办理。</w:t>
      </w:r>
    </w:p>
    <w:p w14:paraId="09B8FCA0">
      <w:pPr>
        <w:keepNext w:val="0"/>
        <w:keepLines w:val="0"/>
        <w:pageBreakBefore w:val="0"/>
        <w:widowControl w:val="0"/>
        <w:numPr>
          <w:ilvl w:val="0"/>
          <w:numId w:val="0"/>
        </w:numPr>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条  </w:t>
      </w:r>
      <w:r>
        <w:rPr>
          <w:rFonts w:hint="eastAsia" w:ascii="仿宋" w:hAnsi="仿宋" w:eastAsia="仿宋" w:cs="方正小标宋简体"/>
          <w:sz w:val="32"/>
          <w:szCs w:val="32"/>
          <w:highlight w:val="none"/>
        </w:rPr>
        <w:t>自然资源和规划部门应当按照医疗卫生设施规划确定的用地要求，核定医疗卫生设施建设用地的区位和规模。</w:t>
      </w:r>
    </w:p>
    <w:p w14:paraId="7F6F3ED7">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一条  </w:t>
      </w:r>
      <w:r>
        <w:rPr>
          <w:rFonts w:hint="eastAsia" w:ascii="仿宋" w:hAnsi="仿宋" w:eastAsia="仿宋" w:cs="方正小标宋简体"/>
          <w:sz w:val="32"/>
          <w:szCs w:val="32"/>
          <w:highlight w:val="none"/>
        </w:rPr>
        <w:t>县级以上人民政府应当将医疗卫生设施建设用地纳入土地利用</w:t>
      </w:r>
      <w:r>
        <w:rPr>
          <w:rFonts w:hint="eastAsia" w:ascii="仿宋" w:hAnsi="仿宋" w:eastAsia="仿宋" w:cs="方正小标宋简体"/>
          <w:sz w:val="32"/>
          <w:szCs w:val="32"/>
          <w:highlight w:val="none"/>
          <w:lang w:eastAsia="zh-CN"/>
        </w:rPr>
        <w:t>总体规划</w:t>
      </w:r>
      <w:r>
        <w:rPr>
          <w:rFonts w:hint="eastAsia" w:ascii="仿宋" w:hAnsi="仿宋" w:eastAsia="仿宋" w:cs="方正小标宋简体"/>
          <w:sz w:val="32"/>
          <w:szCs w:val="32"/>
          <w:highlight w:val="none"/>
        </w:rPr>
        <w:t>。</w:t>
      </w:r>
    </w:p>
    <w:p w14:paraId="2C3F199A">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非营利性医疗卫生设施建设用地由政府划拨，营利性医疗卫生设施建设用地以出让方式取得。</w:t>
      </w:r>
    </w:p>
    <w:p w14:paraId="4E7C4774">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u w:val="none"/>
        </w:rPr>
      </w:pPr>
      <w:r>
        <w:rPr>
          <w:rFonts w:hint="eastAsia" w:ascii="黑体" w:hAnsi="黑体" w:eastAsia="黑体" w:cs="方正小标宋简体"/>
          <w:sz w:val="32"/>
          <w:szCs w:val="32"/>
          <w:highlight w:val="none"/>
        </w:rPr>
        <w:t>第十二</w:t>
      </w:r>
      <w:r>
        <w:rPr>
          <w:rFonts w:hint="eastAsia" w:ascii="黑体" w:hAnsi="黑体" w:eastAsia="黑体" w:cs="方正小标宋简体"/>
          <w:sz w:val="32"/>
          <w:szCs w:val="32"/>
          <w:highlight w:val="none"/>
          <w:lang w:eastAsia="zh-CN"/>
        </w:rPr>
        <w:t xml:space="preserve">条  </w:t>
      </w:r>
      <w:r>
        <w:rPr>
          <w:rFonts w:hint="eastAsia" w:ascii="仿宋" w:hAnsi="仿宋" w:eastAsia="仿宋" w:cs="方正小标宋简体"/>
          <w:sz w:val="32"/>
          <w:szCs w:val="32"/>
          <w:highlight w:val="none"/>
        </w:rPr>
        <w:t>任何单位和个人不得擅自改变医疗卫生设施建设用地的性质和用途；因城市基础设施建设等公共利益需要确需改变的，应当征求卫生健康主管部门意见，</w:t>
      </w:r>
      <w:r>
        <w:rPr>
          <w:rFonts w:hint="eastAsia" w:ascii="仿宋" w:hAnsi="仿宋" w:eastAsia="仿宋" w:cs="方正小标宋简体"/>
          <w:sz w:val="32"/>
          <w:szCs w:val="32"/>
          <w:highlight w:val="none"/>
          <w:u w:val="none"/>
        </w:rPr>
        <w:t>调整后的医疗卫生设施规划用地应当在适当区域配置，保障医疗卫生设施的用地规模、功能</w:t>
      </w:r>
      <w:r>
        <w:rPr>
          <w:rFonts w:hint="eastAsia" w:ascii="仿宋" w:hAnsi="仿宋" w:eastAsia="仿宋" w:cs="方正小标宋简体"/>
          <w:sz w:val="32"/>
          <w:szCs w:val="32"/>
          <w:highlight w:val="none"/>
          <w:u w:val="none"/>
          <w:lang w:eastAsia="zh-CN"/>
        </w:rPr>
        <w:t>和便民</w:t>
      </w:r>
      <w:r>
        <w:rPr>
          <w:rFonts w:hint="eastAsia" w:ascii="仿宋" w:hAnsi="仿宋" w:eastAsia="仿宋" w:cs="方正小标宋简体"/>
          <w:sz w:val="32"/>
          <w:szCs w:val="32"/>
          <w:highlight w:val="none"/>
          <w:u w:val="none"/>
        </w:rPr>
        <w:t>需要</w:t>
      </w:r>
      <w:r>
        <w:rPr>
          <w:rFonts w:hint="eastAsia" w:ascii="仿宋" w:hAnsi="仿宋" w:eastAsia="仿宋" w:cs="方正小标宋简体"/>
          <w:sz w:val="32"/>
          <w:szCs w:val="32"/>
          <w:highlight w:val="none"/>
          <w:u w:val="none"/>
          <w:lang w:eastAsia="zh-CN"/>
        </w:rPr>
        <w:t>，</w:t>
      </w:r>
      <w:r>
        <w:rPr>
          <w:rFonts w:hint="eastAsia" w:ascii="仿宋" w:hAnsi="仿宋" w:eastAsia="仿宋" w:cs="方正小标宋简体"/>
          <w:sz w:val="32"/>
          <w:szCs w:val="32"/>
          <w:highlight w:val="none"/>
        </w:rPr>
        <w:t>并按照法定程序做好规划调整相关工作。</w:t>
      </w:r>
    </w:p>
    <w:p w14:paraId="7DC96D2A">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第十三</w:t>
      </w:r>
      <w:r>
        <w:rPr>
          <w:rFonts w:hint="eastAsia" w:ascii="黑体" w:hAnsi="黑体" w:eastAsia="黑体" w:cs="方正小标宋简体"/>
          <w:sz w:val="32"/>
          <w:szCs w:val="32"/>
          <w:highlight w:val="none"/>
          <w:lang w:eastAsia="zh-CN"/>
        </w:rPr>
        <w:t xml:space="preserve">条  </w:t>
      </w:r>
      <w:r>
        <w:rPr>
          <w:rFonts w:hint="eastAsia" w:ascii="仿宋" w:hAnsi="仿宋" w:eastAsia="仿宋" w:cs="方正小标宋简体"/>
          <w:sz w:val="32"/>
          <w:szCs w:val="32"/>
          <w:highlight w:val="none"/>
        </w:rPr>
        <w:t>县级以上人民政府应当加大对医疗卫生设施建设的投入，公共卫生设施和政府举办的非营利性医疗卫生设施的建设资金由政府财政予以保障。</w:t>
      </w:r>
    </w:p>
    <w:p w14:paraId="3D2FCDF4">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鼓励和引导社会资本投资建设医疗卫生设施。</w:t>
      </w:r>
    </w:p>
    <w:p w14:paraId="39C1AD2E">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四条  </w:t>
      </w:r>
      <w:r>
        <w:rPr>
          <w:rFonts w:hint="eastAsia" w:ascii="仿宋" w:hAnsi="仿宋" w:eastAsia="仿宋" w:cs="方正小标宋简体"/>
          <w:sz w:val="32"/>
          <w:szCs w:val="32"/>
          <w:highlight w:val="none"/>
        </w:rPr>
        <w:t>提供基本医疗卫生服务的社区卫生服务中心（站）、乡镇卫生院、村卫生室按照国家和</w:t>
      </w:r>
      <w:r>
        <w:rPr>
          <w:rFonts w:hint="eastAsia" w:ascii="仿宋" w:hAnsi="仿宋" w:eastAsia="仿宋" w:cs="方正小标宋简体"/>
          <w:sz w:val="32"/>
          <w:szCs w:val="32"/>
          <w:highlight w:val="none"/>
          <w:lang w:eastAsia="zh-CN"/>
        </w:rPr>
        <w:t>本</w:t>
      </w:r>
      <w:r>
        <w:rPr>
          <w:rFonts w:hint="eastAsia" w:ascii="仿宋" w:hAnsi="仿宋" w:eastAsia="仿宋" w:cs="方正小标宋简体"/>
          <w:sz w:val="32"/>
          <w:szCs w:val="32"/>
          <w:highlight w:val="none"/>
        </w:rPr>
        <w:t>省有关规定建设。</w:t>
      </w:r>
    </w:p>
    <w:p w14:paraId="0F093767">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五条  </w:t>
      </w:r>
      <w:r>
        <w:rPr>
          <w:rFonts w:hint="eastAsia" w:ascii="仿宋" w:hAnsi="仿宋" w:eastAsia="仿宋" w:cs="方正小标宋简体"/>
          <w:sz w:val="32"/>
          <w:szCs w:val="32"/>
          <w:highlight w:val="none"/>
        </w:rPr>
        <w:t>本条例第十</w:t>
      </w:r>
      <w:r>
        <w:rPr>
          <w:rFonts w:hint="eastAsia" w:ascii="仿宋" w:hAnsi="仿宋" w:eastAsia="仿宋" w:cs="方正小标宋简体"/>
          <w:sz w:val="32"/>
          <w:szCs w:val="32"/>
          <w:highlight w:val="none"/>
          <w:lang w:eastAsia="zh-CN"/>
        </w:rPr>
        <w:t>四</w:t>
      </w:r>
      <w:r>
        <w:rPr>
          <w:rFonts w:hint="eastAsia" w:ascii="仿宋" w:hAnsi="仿宋" w:eastAsia="仿宋" w:cs="方正小标宋简体"/>
          <w:sz w:val="32"/>
          <w:szCs w:val="32"/>
          <w:highlight w:val="none"/>
        </w:rPr>
        <w:t>条规定以外的综合医院、专科医院、中医医院和公共卫生机构等医疗卫生设施的建设应当符合国家、行业建设标准。</w:t>
      </w:r>
    </w:p>
    <w:p w14:paraId="0524E424">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六条  </w:t>
      </w:r>
      <w:r>
        <w:rPr>
          <w:rFonts w:hint="eastAsia" w:ascii="仿宋" w:hAnsi="仿宋" w:eastAsia="仿宋" w:cs="方正小标宋简体"/>
          <w:sz w:val="32"/>
          <w:szCs w:val="32"/>
          <w:highlight w:val="none"/>
        </w:rPr>
        <w:t>建设医疗卫生设施应当符合抗震、消防和环保等标准，并建设与其医疗卫生服务能力相适应的停车场、医疗废物收集和无障碍等附属配套设施。附属配套设施建设应当与主体工程同时设计、同时施工、同时投入使用。</w:t>
      </w:r>
    </w:p>
    <w:p w14:paraId="45A335DC">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七条  </w:t>
      </w:r>
      <w:r>
        <w:rPr>
          <w:rFonts w:hint="eastAsia" w:ascii="仿宋" w:hAnsi="仿宋" w:eastAsia="仿宋" w:cs="方正小标宋简体"/>
          <w:sz w:val="32"/>
          <w:szCs w:val="32"/>
          <w:highlight w:val="none"/>
        </w:rPr>
        <w:t>医疗卫生设施建设用地内不得建设与医疗卫生无关的建筑物、构筑物或者其他设施。</w:t>
      </w:r>
    </w:p>
    <w:p w14:paraId="2B225F4B">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第十</w:t>
      </w:r>
      <w:r>
        <w:rPr>
          <w:rFonts w:hint="eastAsia" w:ascii="黑体" w:hAnsi="黑体" w:eastAsia="黑体" w:cs="方正小标宋简体"/>
          <w:sz w:val="32"/>
          <w:szCs w:val="32"/>
          <w:highlight w:val="none"/>
          <w:lang w:eastAsia="zh-CN"/>
        </w:rPr>
        <w:t xml:space="preserve">八条  </w:t>
      </w:r>
      <w:r>
        <w:rPr>
          <w:rFonts w:hint="eastAsia" w:ascii="仿宋" w:hAnsi="仿宋" w:eastAsia="仿宋" w:cs="方正小标宋简体"/>
          <w:sz w:val="32"/>
          <w:szCs w:val="32"/>
          <w:highlight w:val="none"/>
        </w:rPr>
        <w:t>建设医疗卫生设施应当远离下列场所和设施：</w:t>
      </w:r>
    </w:p>
    <w:p w14:paraId="39020DDE">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（一）易燃易爆、剧毒、腐蚀性等危险化学品生产、储存、使用、经营场所或者设施；</w:t>
      </w:r>
    </w:p>
    <w:p w14:paraId="426FA98C">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（二）饲养、屠宰畜禽等场所或者设施；</w:t>
      </w:r>
    </w:p>
    <w:p w14:paraId="6A61078C">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（三）废弃物收集、储存、处理场所或者设施；</w:t>
      </w:r>
    </w:p>
    <w:p w14:paraId="2E0F5DE2">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（四）高污染、高噪音的生产、加工、经营场所或者设施；</w:t>
      </w:r>
    </w:p>
    <w:p w14:paraId="0143DE1A">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仿宋" w:hAnsi="仿宋" w:eastAsia="仿宋" w:cs="方正小标宋简体"/>
          <w:sz w:val="32"/>
          <w:szCs w:val="32"/>
          <w:highlight w:val="none"/>
        </w:rPr>
        <w:t>（五）其他可能危害医疗卫生设施安全或环境的场所或者设施。</w:t>
      </w:r>
    </w:p>
    <w:p w14:paraId="6FF0BF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u w:val="none"/>
        </w:rPr>
        <w:t>第</w:t>
      </w:r>
      <w:r>
        <w:rPr>
          <w:rFonts w:hint="eastAsia" w:ascii="黑体" w:hAnsi="黑体" w:eastAsia="黑体" w:cs="方正小标宋简体"/>
          <w:sz w:val="32"/>
          <w:szCs w:val="32"/>
          <w:highlight w:val="none"/>
          <w:u w:val="none"/>
          <w:lang w:eastAsia="zh-CN"/>
        </w:rPr>
        <w:t xml:space="preserve">十九条  </w:t>
      </w:r>
      <w:r>
        <w:rPr>
          <w:rFonts w:hint="eastAsia" w:ascii="仿宋" w:hAnsi="仿宋" w:eastAsia="仿宋" w:cs="方正小标宋简体"/>
          <w:sz w:val="32"/>
          <w:szCs w:val="32"/>
          <w:highlight w:val="none"/>
        </w:rPr>
        <w:t>新建的居民住宅小区</w:t>
      </w:r>
      <w:r>
        <w:rPr>
          <w:rFonts w:hint="eastAsia" w:ascii="仿宋" w:hAnsi="仿宋" w:eastAsia="仿宋" w:cs="方正小标宋简体"/>
          <w:sz w:val="32"/>
          <w:szCs w:val="32"/>
          <w:highlight w:val="none"/>
          <w:lang w:eastAsia="zh-CN"/>
        </w:rPr>
        <w:t>根据国家和本省有关规定</w:t>
      </w:r>
      <w:r>
        <w:rPr>
          <w:rFonts w:hint="eastAsia" w:ascii="仿宋" w:hAnsi="仿宋" w:eastAsia="仿宋" w:cs="方正小标宋简体"/>
          <w:sz w:val="32"/>
          <w:szCs w:val="32"/>
          <w:highlight w:val="none"/>
        </w:rPr>
        <w:t>配套建设的社区卫生服务设施应当与建设项目同步</w:t>
      </w:r>
      <w:r>
        <w:rPr>
          <w:rFonts w:hint="eastAsia" w:ascii="仿宋" w:hAnsi="仿宋" w:eastAsia="仿宋" w:cs="方正小标宋简体"/>
          <w:sz w:val="32"/>
          <w:szCs w:val="32"/>
          <w:highlight w:val="none"/>
          <w:lang w:eastAsia="zh-CN"/>
        </w:rPr>
        <w:t>规划</w:t>
      </w:r>
      <w:r>
        <w:rPr>
          <w:rFonts w:hint="eastAsia" w:ascii="仿宋" w:hAnsi="仿宋" w:eastAsia="仿宋" w:cs="方正小标宋简体"/>
          <w:sz w:val="32"/>
          <w:szCs w:val="32"/>
          <w:highlight w:val="none"/>
        </w:rPr>
        <w:t>、同步建设、同步验收、同步交付。</w:t>
      </w:r>
    </w:p>
    <w:p w14:paraId="26167FF9">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第二十</w:t>
      </w:r>
      <w:r>
        <w:rPr>
          <w:rFonts w:hint="eastAsia" w:ascii="黑体" w:hAnsi="黑体" w:eastAsia="黑体" w:cs="方正小标宋简体"/>
          <w:sz w:val="32"/>
          <w:szCs w:val="32"/>
          <w:highlight w:val="none"/>
          <w:lang w:eastAsia="zh-CN"/>
        </w:rPr>
        <w:t xml:space="preserve">条  </w:t>
      </w:r>
      <w:r>
        <w:rPr>
          <w:rFonts w:hint="eastAsia" w:ascii="仿宋" w:hAnsi="仿宋" w:eastAsia="仿宋" w:cs="方正小标宋简体"/>
          <w:sz w:val="32"/>
          <w:szCs w:val="32"/>
          <w:highlight w:val="none"/>
        </w:rPr>
        <w:t>居民住宅项目配建医疗卫生设施经验收合格后，按照有关规定或者合同约定移交辖区人民政府，由卫生健康主管部门管理使用。</w:t>
      </w:r>
    </w:p>
    <w:p w14:paraId="30460BC2">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第二十</w:t>
      </w:r>
      <w:r>
        <w:rPr>
          <w:rFonts w:hint="eastAsia" w:ascii="黑体" w:hAnsi="黑体" w:eastAsia="黑体" w:cs="方正小标宋简体"/>
          <w:sz w:val="32"/>
          <w:szCs w:val="32"/>
          <w:highlight w:val="none"/>
          <w:lang w:eastAsia="zh-CN"/>
        </w:rPr>
        <w:t xml:space="preserve">一条  </w:t>
      </w:r>
      <w:r>
        <w:rPr>
          <w:rFonts w:hint="eastAsia" w:ascii="仿宋" w:hAnsi="仿宋" w:eastAsia="仿宋" w:cs="方正小标宋简体"/>
          <w:sz w:val="32"/>
          <w:szCs w:val="32"/>
          <w:highlight w:val="none"/>
        </w:rPr>
        <w:t>卫生健康、自然资源和规划、住房城乡建设等有关部门工作人员玩忽职守、滥用职权、徇私舞弊的，由有关机关依法给予处分；构成犯罪的，依法追究刑事责任。</w:t>
      </w:r>
    </w:p>
    <w:p w14:paraId="2FED1B2B">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hint="eastAsia" w:ascii="仿宋" w:hAnsi="仿宋" w:eastAsia="仿宋" w:cs="方正小标宋简体"/>
          <w:sz w:val="32"/>
          <w:szCs w:val="32"/>
          <w:highlight w:val="none"/>
        </w:rPr>
      </w:pPr>
      <w:r>
        <w:rPr>
          <w:rFonts w:hint="eastAsia" w:ascii="黑体" w:hAnsi="黑体" w:eastAsia="黑体" w:cs="方正小标宋简体"/>
          <w:sz w:val="32"/>
          <w:szCs w:val="32"/>
          <w:highlight w:val="none"/>
        </w:rPr>
        <w:t>第二十</w:t>
      </w:r>
      <w:r>
        <w:rPr>
          <w:rFonts w:hint="eastAsia" w:ascii="黑体" w:hAnsi="黑体" w:eastAsia="黑体" w:cs="方正小标宋简体"/>
          <w:sz w:val="32"/>
          <w:szCs w:val="32"/>
          <w:highlight w:val="none"/>
          <w:lang w:eastAsia="zh-CN"/>
        </w:rPr>
        <w:t xml:space="preserve">二条  </w:t>
      </w:r>
      <w:r>
        <w:rPr>
          <w:rFonts w:hint="eastAsia" w:ascii="仿宋" w:hAnsi="仿宋" w:eastAsia="仿宋" w:cs="方正小标宋简体"/>
          <w:sz w:val="32"/>
          <w:szCs w:val="32"/>
          <w:highlight w:val="none"/>
        </w:rPr>
        <w:t>违反本条例规定的行为，法律、法规已有法律责任规定的，从其规定。</w:t>
      </w:r>
    </w:p>
    <w:p w14:paraId="7D901986">
      <w:pPr>
        <w:keepNext w:val="0"/>
        <w:keepLines w:val="0"/>
        <w:pageBreakBefore w:val="0"/>
        <w:tabs>
          <w:tab w:val="left" w:pos="570"/>
        </w:tabs>
        <w:kinsoku/>
        <w:wordWrap/>
        <w:overflowPunct/>
        <w:topLinePunct w:val="0"/>
        <w:autoSpaceDE/>
        <w:autoSpaceDN/>
        <w:bidi w:val="0"/>
        <w:adjustRightInd/>
        <w:snapToGrid/>
        <w:spacing w:line="240" w:lineRule="auto"/>
        <w:ind w:firstLine="640" w:firstLineChars="200"/>
        <w:textAlignment w:val="auto"/>
        <w:rPr>
          <w:rFonts w:ascii="仿宋" w:hAnsi="仿宋" w:eastAsia="仿宋" w:cs="方正小标宋简体"/>
          <w:sz w:val="32"/>
          <w:szCs w:val="32"/>
          <w:highlight w:val="none"/>
        </w:rPr>
      </w:pPr>
      <w:r>
        <w:rPr>
          <w:rFonts w:hint="eastAsia" w:ascii="黑体" w:hAnsi="黑体" w:eastAsia="黑体" w:cs="方正小标宋简体"/>
          <w:sz w:val="32"/>
          <w:szCs w:val="32"/>
          <w:highlight w:val="none"/>
        </w:rPr>
        <w:t>第二十</w:t>
      </w:r>
      <w:r>
        <w:rPr>
          <w:rFonts w:hint="eastAsia" w:ascii="黑体" w:hAnsi="黑体" w:eastAsia="黑体" w:cs="方正小标宋简体"/>
          <w:sz w:val="32"/>
          <w:szCs w:val="32"/>
          <w:highlight w:val="none"/>
          <w:lang w:eastAsia="zh-CN"/>
        </w:rPr>
        <w:t xml:space="preserve">三条  </w:t>
      </w:r>
      <w:r>
        <w:rPr>
          <w:rFonts w:hint="eastAsia" w:ascii="仿宋" w:hAnsi="仿宋" w:eastAsia="仿宋" w:cs="方正小标宋简体"/>
          <w:sz w:val="32"/>
          <w:szCs w:val="32"/>
          <w:highlight w:val="none"/>
        </w:rPr>
        <w:t>本条例自</w:t>
      </w:r>
      <w:r>
        <w:rPr>
          <w:rFonts w:hint="eastAsia" w:ascii="仿宋" w:hAnsi="仿宋" w:eastAsia="仿宋" w:cs="仿宋"/>
          <w:color w:val="auto"/>
          <w:sz w:val="30"/>
          <w:szCs w:val="30"/>
          <w:highlight w:val="none"/>
          <w:u w:val="none"/>
          <w:lang w:val="en-US" w:eastAsia="zh-CN"/>
        </w:rPr>
        <w:t>2025年5月1日</w:t>
      </w:r>
      <w:r>
        <w:rPr>
          <w:rFonts w:hint="eastAsia" w:ascii="仿宋" w:hAnsi="仿宋" w:eastAsia="仿宋" w:cs="方正小标宋简体"/>
          <w:sz w:val="32"/>
          <w:szCs w:val="32"/>
          <w:highlight w:val="none"/>
        </w:rPr>
        <w:t>起施行。</w:t>
      </w:r>
    </w:p>
    <w:p w14:paraId="7B13BE62">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黑体" w:hAnsi="黑体" w:eastAsia="黑体" w:cs="黑体"/>
          <w:b w:val="0"/>
          <w:bCs w:val="0"/>
          <w:i w:val="0"/>
          <w:iCs w:val="0"/>
          <w:caps w:val="0"/>
          <w:color w:val="000000"/>
          <w:spacing w:val="0"/>
          <w:sz w:val="32"/>
          <w:szCs w:val="32"/>
          <w:highlight w:val="none"/>
          <w:lang w:eastAsia="zh-CN"/>
        </w:rPr>
      </w:pPr>
      <w:r>
        <w:rPr>
          <w:rFonts w:ascii="方正小标宋简体" w:hAnsi="方正小标宋简体" w:eastAsia="方正小标宋简体" w:cs="方正小标宋简体"/>
          <w:sz w:val="44"/>
          <w:szCs w:val="44"/>
          <w:highlight w:val="none"/>
        </w:rPr>
        <w:br w:type="page"/>
      </w:r>
    </w:p>
    <w:p w14:paraId="688C28EA">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仿宋" w:hAnsi="仿宋" w:eastAsia="仿宋" w:cs="仿宋"/>
          <w:color w:val="auto"/>
          <w:sz w:val="32"/>
          <w:szCs w:val="32"/>
          <w:highlight w:val="none"/>
        </w:rPr>
      </w:pPr>
    </w:p>
    <w:p w14:paraId="68A8C410">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default"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石家庄市人民政府</w:t>
      </w:r>
    </w:p>
    <w:p w14:paraId="5AC18CC7">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rPr>
        <w:t>关于《石家庄市</w:t>
      </w:r>
      <w:r>
        <w:rPr>
          <w:rFonts w:hint="eastAsia" w:ascii="方正小标宋简体" w:hAnsi="方正小标宋简体" w:eastAsia="方正小标宋简体" w:cs="方正小标宋简体"/>
          <w:color w:val="auto"/>
          <w:sz w:val="44"/>
          <w:szCs w:val="44"/>
          <w:highlight w:val="none"/>
          <w:lang w:val="en-US" w:eastAsia="zh-CN"/>
        </w:rPr>
        <w:t>医疗卫生设施规划建设</w:t>
      </w:r>
    </w:p>
    <w:p w14:paraId="7394CF3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color w:val="auto"/>
          <w:sz w:val="44"/>
          <w:szCs w:val="44"/>
          <w:highlight w:val="none"/>
        </w:rPr>
      </w:pPr>
      <w:r>
        <w:rPr>
          <w:rFonts w:hint="eastAsia" w:ascii="方正小标宋简体" w:hAnsi="方正小标宋简体" w:eastAsia="方正小标宋简体" w:cs="方正小标宋简体"/>
          <w:color w:val="auto"/>
          <w:sz w:val="44"/>
          <w:szCs w:val="44"/>
          <w:highlight w:val="none"/>
        </w:rPr>
        <w:t>管理条例（修订草案）》的说明</w:t>
      </w:r>
    </w:p>
    <w:p w14:paraId="2AF4D9FD">
      <w:pPr>
        <w:autoSpaceDE w:val="0"/>
        <w:autoSpaceDN w:val="0"/>
        <w:adjustRightInd w:val="0"/>
        <w:spacing w:line="640" w:lineRule="exact"/>
        <w:jc w:val="center"/>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——2024年10月28日在石家庄市第十五届人民代表大会</w:t>
      </w:r>
    </w:p>
    <w:p w14:paraId="4160DA9D">
      <w:pPr>
        <w:autoSpaceDE w:val="0"/>
        <w:autoSpaceDN w:val="0"/>
        <w:adjustRightInd w:val="0"/>
        <w:spacing w:line="640" w:lineRule="exact"/>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常务委员会第二十九次会议上</w:t>
      </w:r>
    </w:p>
    <w:p w14:paraId="7FF8A0EC">
      <w:pPr>
        <w:autoSpaceDE w:val="0"/>
        <w:autoSpaceDN w:val="0"/>
        <w:adjustRightInd w:val="0"/>
        <w:spacing w:line="640" w:lineRule="exact"/>
        <w:jc w:val="center"/>
        <w:rPr>
          <w:rFonts w:hint="default"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石家庄市卫生健康委员会主任  崔  芸</w:t>
      </w:r>
    </w:p>
    <w:p w14:paraId="64507343">
      <w:pPr>
        <w:keepNext w:val="0"/>
        <w:keepLines w:val="0"/>
        <w:pageBreakBefore w:val="0"/>
        <w:widowControl w:val="0"/>
        <w:kinsoku/>
        <w:wordWrap/>
        <w:overflowPunct/>
        <w:topLinePunct w:val="0"/>
        <w:autoSpaceDE w:val="0"/>
        <w:autoSpaceDN w:val="0"/>
        <w:bidi w:val="0"/>
        <w:adjustRightInd w:val="0"/>
        <w:snapToGrid/>
        <w:spacing w:line="620" w:lineRule="exact"/>
        <w:jc w:val="both"/>
        <w:textAlignment w:val="auto"/>
        <w:rPr>
          <w:rFonts w:hint="eastAsia" w:ascii="仿宋_GB2312" w:hAnsi="仿宋_GB2312" w:eastAsia="仿宋" w:cs="仿宋_GB2312"/>
          <w:color w:val="auto"/>
          <w:sz w:val="32"/>
          <w:szCs w:val="32"/>
          <w:highlight w:val="none"/>
          <w:lang w:val="en-US" w:eastAsia="zh-CN"/>
        </w:rPr>
      </w:pPr>
    </w:p>
    <w:p w14:paraId="67E3F306">
      <w:pPr>
        <w:keepNext w:val="0"/>
        <w:keepLines w:val="0"/>
        <w:pageBreakBefore w:val="0"/>
        <w:widowControl w:val="0"/>
        <w:kinsoku/>
        <w:wordWrap/>
        <w:overflowPunct/>
        <w:topLinePunct w:val="0"/>
        <w:autoSpaceDE w:val="0"/>
        <w:autoSpaceDN w:val="0"/>
        <w:bidi w:val="0"/>
        <w:adjustRightInd w:val="0"/>
        <w:snapToGrid/>
        <w:spacing w:line="640" w:lineRule="exact"/>
        <w:jc w:val="both"/>
        <w:textAlignment w:val="auto"/>
        <w:rPr>
          <w:rFonts w:hint="eastAsia" w:ascii="仿宋_GB2312" w:hAnsi="仿宋_GB2312" w:eastAsia="仿宋" w:cs="仿宋_GB2312"/>
          <w:color w:val="auto"/>
          <w:sz w:val="32"/>
          <w:szCs w:val="32"/>
          <w:highlight w:val="none"/>
          <w:lang w:val="en-US" w:eastAsia="zh-CN"/>
        </w:rPr>
      </w:pPr>
      <w:r>
        <w:rPr>
          <w:rFonts w:hint="eastAsia" w:ascii="仿宋_GB2312" w:hAnsi="仿宋_GB2312" w:eastAsia="仿宋" w:cs="仿宋_GB2312"/>
          <w:color w:val="auto"/>
          <w:sz w:val="32"/>
          <w:szCs w:val="32"/>
          <w:highlight w:val="none"/>
          <w:lang w:val="en-US" w:eastAsia="zh-CN"/>
        </w:rPr>
        <w:t>主任、各位副主任、秘书长、各位委员:</w:t>
      </w:r>
    </w:p>
    <w:p w14:paraId="2724083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我受市政府委托，现就《石家庄市</w:t>
      </w:r>
      <w:r>
        <w:rPr>
          <w:rFonts w:hint="eastAsia" w:ascii="仿宋" w:hAnsi="仿宋" w:eastAsia="仿宋" w:cs="仿宋"/>
          <w:color w:val="auto"/>
          <w:sz w:val="32"/>
          <w:szCs w:val="32"/>
          <w:highlight w:val="none"/>
          <w:lang w:val="en-US" w:eastAsia="zh-CN"/>
        </w:rPr>
        <w:t>医疗卫生设施规划建设</w:t>
      </w:r>
      <w:r>
        <w:rPr>
          <w:rFonts w:hint="eastAsia" w:ascii="仿宋" w:hAnsi="仿宋" w:eastAsia="仿宋" w:cs="仿宋"/>
          <w:color w:val="auto"/>
          <w:sz w:val="32"/>
          <w:szCs w:val="32"/>
          <w:highlight w:val="none"/>
        </w:rPr>
        <w:t>管理条例（修订草案）》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lang w:val="en-US" w:eastAsia="zh-CN"/>
        </w:rPr>
        <w:t>以下简称《条例（修订草案）》</w:t>
      </w:r>
      <w:r>
        <w:rPr>
          <w:rFonts w:hint="eastAsia" w:ascii="仿宋" w:hAnsi="仿宋" w:eastAsia="仿宋" w:cs="仿宋"/>
          <w:color w:val="auto"/>
          <w:sz w:val="32"/>
          <w:szCs w:val="32"/>
          <w:highlight w:val="none"/>
          <w:lang w:eastAsia="zh-CN"/>
        </w:rPr>
        <w:t>）</w:t>
      </w:r>
      <w:r>
        <w:rPr>
          <w:rFonts w:hint="eastAsia" w:ascii="仿宋" w:hAnsi="仿宋" w:eastAsia="仿宋" w:cs="仿宋"/>
          <w:color w:val="auto"/>
          <w:sz w:val="32"/>
          <w:szCs w:val="32"/>
          <w:highlight w:val="none"/>
        </w:rPr>
        <w:t>作如下说明。</w:t>
      </w:r>
    </w:p>
    <w:p w14:paraId="5E411BC4">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rPr>
        <w:t>一、</w:t>
      </w:r>
      <w:r>
        <w:rPr>
          <w:rFonts w:hint="eastAsia" w:ascii="黑体" w:hAnsi="黑体" w:eastAsia="黑体" w:cs="黑体"/>
          <w:color w:val="auto"/>
          <w:sz w:val="32"/>
          <w:szCs w:val="32"/>
          <w:highlight w:val="none"/>
          <w:lang w:val="en-US" w:eastAsia="zh-CN"/>
        </w:rPr>
        <w:t>起草背景和过程</w:t>
      </w:r>
    </w:p>
    <w:p w14:paraId="39A6F9A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《石家庄市</w:t>
      </w:r>
      <w:r>
        <w:rPr>
          <w:rFonts w:hint="eastAsia" w:ascii="仿宋" w:hAnsi="仿宋" w:eastAsia="仿宋" w:cs="仿宋"/>
          <w:color w:val="auto"/>
          <w:sz w:val="32"/>
          <w:szCs w:val="32"/>
          <w:highlight w:val="none"/>
          <w:lang w:val="en-US" w:eastAsia="zh-CN"/>
        </w:rPr>
        <w:t>医疗卫生设施规划建设</w:t>
      </w:r>
      <w:r>
        <w:rPr>
          <w:rFonts w:hint="eastAsia" w:ascii="仿宋" w:hAnsi="仿宋" w:eastAsia="仿宋" w:cs="仿宋"/>
          <w:color w:val="auto"/>
          <w:sz w:val="32"/>
          <w:szCs w:val="32"/>
          <w:highlight w:val="none"/>
        </w:rPr>
        <w:t>管理条例》（以下简称《条例》）</w:t>
      </w:r>
      <w:r>
        <w:rPr>
          <w:rFonts w:hint="eastAsia" w:ascii="仿宋" w:hAnsi="仿宋" w:eastAsia="仿宋" w:cs="仿宋"/>
          <w:color w:val="auto"/>
          <w:sz w:val="32"/>
          <w:szCs w:val="32"/>
          <w:highlight w:val="none"/>
          <w:lang w:val="en-US" w:eastAsia="zh-CN"/>
        </w:rPr>
        <w:t>自</w:t>
      </w:r>
      <w:r>
        <w:rPr>
          <w:rFonts w:hint="eastAsia" w:ascii="仿宋" w:hAnsi="仿宋" w:eastAsia="仿宋" w:cs="仿宋"/>
          <w:color w:val="auto"/>
          <w:sz w:val="32"/>
          <w:szCs w:val="32"/>
          <w:highlight w:val="none"/>
        </w:rPr>
        <w:t>201</w:t>
      </w:r>
      <w:r>
        <w:rPr>
          <w:rFonts w:hint="eastAsia" w:ascii="仿宋" w:hAnsi="仿宋" w:eastAsia="仿宋" w:cs="仿宋"/>
          <w:color w:val="auto"/>
          <w:sz w:val="32"/>
          <w:szCs w:val="32"/>
          <w:highlight w:val="none"/>
          <w:lang w:val="en-US" w:eastAsia="zh-CN"/>
        </w:rPr>
        <w:t>3</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6月1日实施以来，在指导和规范全市医疗卫生设施的规划和建设管理方面起到了积极作用。近年来，国家、省、市在促进优质医疗资源扩容和区域均衡布局方面提出了新的要求，相关行业标准和规范均发生变化。2024年4月24日，市人大常委会将修正《条例》列为今年计划内立法项目，9月23日，市人大常委会印发通知将《条例》由修正转为修订。</w:t>
      </w:r>
    </w:p>
    <w:p w14:paraId="3B0E79E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在市人大、市司法局的组织指导下，市卫生健康委对《条例》修订工作高度重视，委党组专题研究，成立起草工作专班，进行了安排部署。在认真梳理相关法律法规和政策，借鉴先进地区经验的基础上，通过广泛征求意见、专家论证、合法性审查、党组研究、市司法局审核研究等立法程序，目前《条例（修订草案）》已经市政府常务会研究通过。</w:t>
      </w:r>
    </w:p>
    <w:p w14:paraId="194AF63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color w:val="auto"/>
          <w:sz w:val="32"/>
          <w:szCs w:val="32"/>
          <w:highlight w:val="none"/>
        </w:rPr>
      </w:pPr>
      <w:r>
        <w:rPr>
          <w:rFonts w:hint="eastAsia" w:ascii="黑体" w:hAnsi="黑体" w:eastAsia="黑体" w:cs="黑体"/>
          <w:color w:val="auto"/>
          <w:sz w:val="32"/>
          <w:szCs w:val="32"/>
          <w:highlight w:val="none"/>
        </w:rPr>
        <w:t>二、主要内容</w:t>
      </w:r>
    </w:p>
    <w:p w14:paraId="6EA23E02">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rPr>
        <w:t>原《条例》共</w:t>
      </w:r>
      <w:r>
        <w:rPr>
          <w:rFonts w:hint="eastAsia" w:ascii="仿宋" w:hAnsi="仿宋" w:eastAsia="仿宋" w:cs="仿宋"/>
          <w:color w:val="auto"/>
          <w:sz w:val="32"/>
          <w:szCs w:val="32"/>
          <w:highlight w:val="none"/>
          <w:lang w:val="en-US" w:eastAsia="zh-CN"/>
        </w:rPr>
        <w:t>30</w:t>
      </w:r>
      <w:r>
        <w:rPr>
          <w:rFonts w:hint="eastAsia" w:ascii="仿宋" w:hAnsi="仿宋" w:eastAsia="仿宋" w:cs="仿宋"/>
          <w:color w:val="auto"/>
          <w:sz w:val="32"/>
          <w:szCs w:val="32"/>
          <w:highlight w:val="none"/>
        </w:rPr>
        <w:t>条，修改后为</w:t>
      </w:r>
      <w:r>
        <w:rPr>
          <w:rFonts w:hint="eastAsia" w:ascii="仿宋" w:hAnsi="仿宋" w:eastAsia="仿宋" w:cs="仿宋"/>
          <w:color w:val="auto"/>
          <w:sz w:val="32"/>
          <w:szCs w:val="32"/>
          <w:highlight w:val="none"/>
          <w:lang w:val="en-US" w:eastAsia="zh-CN"/>
        </w:rPr>
        <w:t>28</w:t>
      </w:r>
      <w:r>
        <w:rPr>
          <w:rFonts w:hint="eastAsia" w:ascii="仿宋" w:hAnsi="仿宋" w:eastAsia="仿宋" w:cs="仿宋"/>
          <w:color w:val="auto"/>
          <w:sz w:val="32"/>
          <w:szCs w:val="32"/>
          <w:highlight w:val="none"/>
        </w:rPr>
        <w:t>条，</w:t>
      </w:r>
      <w:r>
        <w:rPr>
          <w:rFonts w:hint="eastAsia" w:ascii="仿宋" w:hAnsi="仿宋" w:eastAsia="仿宋" w:cs="仿宋"/>
          <w:color w:val="auto"/>
          <w:sz w:val="32"/>
          <w:szCs w:val="32"/>
          <w:highlight w:val="none"/>
          <w:lang w:val="en-US" w:eastAsia="zh-CN"/>
        </w:rPr>
        <w:t>重点从医疗卫生设施的规划编制、总体布局、设置标准、用地保障及法律责任等方面作出规定。</w:t>
      </w:r>
    </w:p>
    <w:p w14:paraId="71D6077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3" w:firstLineChars="200"/>
        <w:jc w:val="both"/>
        <w:textAlignment w:val="auto"/>
        <w:rPr>
          <w:rFonts w:hint="default" w:ascii="仿宋_GB2312" w:eastAsia="仿宋_GB2312"/>
          <w:b w:val="0"/>
          <w:bCs w:val="0"/>
          <w:sz w:val="32"/>
          <w:szCs w:val="32"/>
          <w:highlight w:val="none"/>
          <w:lang w:eastAsia="zh-CN"/>
        </w:rPr>
      </w:pPr>
      <w:r>
        <w:rPr>
          <w:rFonts w:hint="eastAsia" w:ascii="楷体" w:hAnsi="楷体" w:eastAsia="楷体" w:cs="楷体"/>
          <w:b/>
          <w:bCs/>
          <w:sz w:val="32"/>
          <w:szCs w:val="32"/>
          <w:highlight w:val="none"/>
          <w:lang w:eastAsia="zh-CN"/>
        </w:rPr>
        <w:t>（</w:t>
      </w:r>
      <w:r>
        <w:rPr>
          <w:rFonts w:hint="eastAsia" w:ascii="楷体" w:hAnsi="楷体" w:eastAsia="楷体" w:cs="楷体"/>
          <w:b/>
          <w:bCs/>
          <w:sz w:val="32"/>
          <w:szCs w:val="32"/>
          <w:highlight w:val="none"/>
          <w:lang w:val="en-US" w:eastAsia="zh-CN"/>
        </w:rPr>
        <w:t>一</w:t>
      </w:r>
      <w:r>
        <w:rPr>
          <w:rFonts w:hint="eastAsia" w:ascii="楷体" w:hAnsi="楷体" w:eastAsia="楷体" w:cs="楷体"/>
          <w:b/>
          <w:bCs/>
          <w:sz w:val="32"/>
          <w:szCs w:val="32"/>
          <w:highlight w:val="none"/>
          <w:lang w:eastAsia="zh-CN"/>
        </w:rPr>
        <w:t>）发挥</w:t>
      </w:r>
      <w:r>
        <w:rPr>
          <w:rFonts w:hint="eastAsia" w:ascii="楷体" w:hAnsi="楷体" w:eastAsia="楷体" w:cs="楷体"/>
          <w:b/>
          <w:bCs/>
          <w:sz w:val="32"/>
          <w:szCs w:val="32"/>
          <w:highlight w:val="none"/>
          <w:lang w:val="en-US" w:eastAsia="zh-CN"/>
        </w:rPr>
        <w:t>引领</w:t>
      </w:r>
      <w:r>
        <w:rPr>
          <w:rFonts w:hint="eastAsia" w:ascii="楷体" w:hAnsi="楷体" w:eastAsia="楷体" w:cs="楷体"/>
          <w:b/>
          <w:bCs/>
          <w:sz w:val="32"/>
          <w:szCs w:val="32"/>
          <w:highlight w:val="none"/>
          <w:lang w:eastAsia="zh-CN"/>
        </w:rPr>
        <w:t>作用，推动优化医疗卫生设施配置布局。</w:t>
      </w:r>
      <w:r>
        <w:rPr>
          <w:rFonts w:hint="eastAsia" w:ascii="仿宋_GB2312" w:eastAsia="仿宋_GB2312"/>
          <w:b w:val="0"/>
          <w:bCs w:val="0"/>
          <w:sz w:val="32"/>
          <w:szCs w:val="32"/>
          <w:highlight w:val="none"/>
          <w:lang w:val="en-US" w:eastAsia="zh-CN"/>
        </w:rPr>
        <w:t>将2020年6月1日颁布实施的《中华人民共和国基本医疗卫生与健康促进法》纳入立法依据。明确了卫生健康主管部门为医疗卫生设施规划编制部门，要</w:t>
      </w:r>
      <w:r>
        <w:rPr>
          <w:rFonts w:hint="default" w:ascii="仿宋_GB2312" w:eastAsia="仿宋_GB2312"/>
          <w:b w:val="0"/>
          <w:bCs w:val="0"/>
          <w:sz w:val="32"/>
          <w:szCs w:val="32"/>
          <w:highlight w:val="none"/>
          <w:lang w:eastAsia="zh-CN"/>
        </w:rPr>
        <w:t>依据国土空间</w:t>
      </w:r>
      <w:r>
        <w:rPr>
          <w:rFonts w:hint="eastAsia" w:ascii="仿宋_GB2312" w:eastAsia="仿宋_GB2312"/>
          <w:b w:val="0"/>
          <w:bCs w:val="0"/>
          <w:sz w:val="32"/>
          <w:szCs w:val="32"/>
          <w:highlight w:val="none"/>
          <w:lang w:eastAsia="zh-CN"/>
        </w:rPr>
        <w:t>总体</w:t>
      </w:r>
      <w:r>
        <w:rPr>
          <w:rFonts w:hint="default" w:ascii="仿宋_GB2312" w:eastAsia="仿宋_GB2312"/>
          <w:b w:val="0"/>
          <w:bCs w:val="0"/>
          <w:sz w:val="32"/>
          <w:szCs w:val="32"/>
          <w:highlight w:val="none"/>
          <w:lang w:eastAsia="zh-CN"/>
        </w:rPr>
        <w:t>规划</w:t>
      </w:r>
      <w:r>
        <w:rPr>
          <w:rFonts w:hint="eastAsia" w:ascii="仿宋_GB2312" w:eastAsia="仿宋_GB2312"/>
          <w:b w:val="0"/>
          <w:bCs w:val="0"/>
          <w:sz w:val="32"/>
          <w:szCs w:val="32"/>
          <w:highlight w:val="none"/>
          <w:lang w:val="en-US" w:eastAsia="zh-CN"/>
        </w:rPr>
        <w:t>并综合考虑城乡发展及人口居住状况等因素，合理规划</w:t>
      </w:r>
      <w:r>
        <w:rPr>
          <w:rFonts w:hint="default" w:ascii="仿宋_GB2312" w:eastAsia="仿宋_GB2312"/>
          <w:b w:val="0"/>
          <w:bCs w:val="0"/>
          <w:sz w:val="32"/>
          <w:szCs w:val="32"/>
          <w:highlight w:val="none"/>
          <w:lang w:eastAsia="zh-CN"/>
        </w:rPr>
        <w:t>医疗卫生设施</w:t>
      </w:r>
      <w:r>
        <w:rPr>
          <w:rFonts w:hint="eastAsia" w:ascii="仿宋_GB2312" w:eastAsia="仿宋_GB2312"/>
          <w:b w:val="0"/>
          <w:bCs w:val="0"/>
          <w:sz w:val="32"/>
          <w:szCs w:val="32"/>
          <w:highlight w:val="none"/>
          <w:lang w:val="en-US" w:eastAsia="zh-CN"/>
        </w:rPr>
        <w:t>布局。</w:t>
      </w:r>
    </w:p>
    <w:p w14:paraId="1F0CB73D">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default" w:ascii="仿宋_GB2312" w:eastAsia="仿宋_GB2312"/>
          <w:b w:val="0"/>
          <w:bCs w:val="0"/>
          <w:sz w:val="32"/>
          <w:szCs w:val="32"/>
          <w:highlight w:val="none"/>
          <w:lang w:val="en-US" w:eastAsia="zh-CN"/>
        </w:rPr>
      </w:pPr>
      <w:r>
        <w:rPr>
          <w:rFonts w:hint="eastAsia" w:ascii="楷体" w:hAnsi="楷体" w:eastAsia="楷体" w:cs="楷体"/>
          <w:b/>
          <w:bCs/>
          <w:sz w:val="32"/>
          <w:szCs w:val="32"/>
          <w:highlight w:val="none"/>
          <w:lang w:val="en-US" w:eastAsia="zh-CN"/>
        </w:rPr>
        <w:t>（二）</w:t>
      </w:r>
      <w:r>
        <w:rPr>
          <w:rFonts w:hint="default" w:ascii="楷体" w:hAnsi="楷体" w:eastAsia="楷体" w:cs="楷体"/>
          <w:b/>
          <w:bCs/>
          <w:sz w:val="32"/>
          <w:szCs w:val="32"/>
          <w:highlight w:val="none"/>
          <w:lang w:val="en-US" w:eastAsia="zh-CN"/>
        </w:rPr>
        <w:t>强化建设管理</w:t>
      </w:r>
      <w:r>
        <w:rPr>
          <w:rFonts w:hint="eastAsia" w:ascii="楷体" w:hAnsi="楷体" w:eastAsia="楷体" w:cs="楷体"/>
          <w:b/>
          <w:bCs/>
          <w:sz w:val="32"/>
          <w:szCs w:val="32"/>
          <w:highlight w:val="none"/>
          <w:lang w:val="en-US" w:eastAsia="zh-CN"/>
        </w:rPr>
        <w:t>，</w:t>
      </w:r>
      <w:r>
        <w:rPr>
          <w:rFonts w:hint="default" w:ascii="楷体" w:hAnsi="楷体" w:eastAsia="楷体" w:cs="楷体"/>
          <w:b/>
          <w:bCs/>
          <w:sz w:val="32"/>
          <w:szCs w:val="32"/>
          <w:highlight w:val="none"/>
          <w:lang w:val="en-US" w:eastAsia="zh-CN"/>
        </w:rPr>
        <w:t>提升完善医疗卫生设施基础功能。</w:t>
      </w:r>
      <w:r>
        <w:rPr>
          <w:rFonts w:hint="eastAsia" w:ascii="仿宋_GB2312" w:eastAsia="仿宋_GB2312"/>
          <w:b w:val="0"/>
          <w:bCs w:val="0"/>
          <w:sz w:val="32"/>
          <w:szCs w:val="32"/>
          <w:highlight w:val="none"/>
          <w:lang w:val="en-US" w:eastAsia="zh-CN"/>
        </w:rPr>
        <w:t>依照国家有关行业标准，对医疗卫生设施的规范化配置建设提出要求，同时对附属配套设施建设、毗邻建设用地和周边场所设施等作出了明确规定。在建设资金方面，明确公共卫生设施和政府举办的非营利性医疗卫生设施的建设资金由政府财政予以保障。</w:t>
      </w:r>
    </w:p>
    <w:p w14:paraId="2C83215E">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_GB2312" w:eastAsia="仿宋_GB2312"/>
          <w:b w:val="0"/>
          <w:bCs w:val="0"/>
          <w:sz w:val="32"/>
          <w:szCs w:val="32"/>
          <w:highlight w:val="none"/>
          <w:lang w:val="en-US" w:eastAsia="zh-CN"/>
        </w:rPr>
      </w:pPr>
      <w:r>
        <w:rPr>
          <w:rFonts w:hint="eastAsia" w:ascii="楷体" w:hAnsi="楷体" w:eastAsia="楷体" w:cs="楷体"/>
          <w:b/>
          <w:bCs/>
          <w:sz w:val="32"/>
          <w:szCs w:val="32"/>
          <w:highlight w:val="none"/>
          <w:lang w:val="en-US" w:eastAsia="zh-CN"/>
        </w:rPr>
        <w:t>（三）</w:t>
      </w:r>
      <w:r>
        <w:rPr>
          <w:rFonts w:hint="default" w:ascii="楷体" w:hAnsi="楷体" w:eastAsia="楷体" w:cs="楷体"/>
          <w:b/>
          <w:bCs/>
          <w:sz w:val="32"/>
          <w:szCs w:val="32"/>
          <w:highlight w:val="none"/>
          <w:lang w:val="en-US" w:eastAsia="zh-CN"/>
        </w:rPr>
        <w:t>加强用地保障</w:t>
      </w:r>
      <w:r>
        <w:rPr>
          <w:rFonts w:hint="eastAsia" w:ascii="楷体" w:hAnsi="楷体" w:eastAsia="楷体" w:cs="楷体"/>
          <w:b/>
          <w:bCs/>
          <w:sz w:val="32"/>
          <w:szCs w:val="32"/>
          <w:highlight w:val="none"/>
          <w:lang w:val="en-US" w:eastAsia="zh-CN"/>
        </w:rPr>
        <w:t>，</w:t>
      </w:r>
      <w:r>
        <w:rPr>
          <w:rFonts w:hint="default" w:ascii="楷体" w:hAnsi="楷体" w:eastAsia="楷体" w:cs="楷体"/>
          <w:b/>
          <w:bCs/>
          <w:sz w:val="32"/>
          <w:szCs w:val="32"/>
          <w:highlight w:val="none"/>
          <w:lang w:val="en-US" w:eastAsia="zh-CN"/>
        </w:rPr>
        <w:t>为医疗卫生设施建设留足空间。</w:t>
      </w:r>
      <w:r>
        <w:rPr>
          <w:rFonts w:hint="eastAsia" w:ascii="仿宋_GB2312" w:eastAsia="仿宋_GB2312"/>
          <w:b w:val="0"/>
          <w:bCs w:val="0"/>
          <w:sz w:val="32"/>
          <w:szCs w:val="32"/>
          <w:highlight w:val="none"/>
          <w:lang w:val="en-US" w:eastAsia="zh-CN"/>
        </w:rPr>
        <w:t>《条例（修订草案）》</w:t>
      </w:r>
      <w:r>
        <w:rPr>
          <w:rFonts w:hint="default" w:ascii="仿宋_GB2312" w:eastAsia="仿宋_GB2312"/>
          <w:b w:val="0"/>
          <w:bCs w:val="0"/>
          <w:sz w:val="32"/>
          <w:szCs w:val="32"/>
          <w:highlight w:val="none"/>
          <w:lang w:eastAsia="zh-CN"/>
        </w:rPr>
        <w:t>明确规定</w:t>
      </w:r>
      <w:r>
        <w:rPr>
          <w:rFonts w:hint="eastAsia" w:ascii="仿宋_GB2312" w:eastAsia="仿宋_GB2312"/>
          <w:b w:val="0"/>
          <w:bCs w:val="0"/>
          <w:sz w:val="32"/>
          <w:szCs w:val="32"/>
          <w:highlight w:val="none"/>
          <w:lang w:val="en-US" w:eastAsia="zh-CN"/>
        </w:rPr>
        <w:t>由各级政府保障医疗卫生设施建设用地并纳入土地利用年度计划，任何单位和个人不得擅自改变医疗卫生设施建设用地用途。确需改变的应当依程序进行调整，调整后的医疗卫生设施规划用地应当在适当区域配置，保障</w:t>
      </w:r>
      <w:r>
        <w:rPr>
          <w:rFonts w:hint="default" w:ascii="仿宋_GB2312" w:eastAsia="仿宋_GB2312"/>
          <w:b w:val="0"/>
          <w:bCs w:val="0"/>
          <w:sz w:val="32"/>
          <w:szCs w:val="32"/>
          <w:highlight w:val="none"/>
          <w:lang w:eastAsia="zh-CN"/>
        </w:rPr>
        <w:t>医疗卫生设施</w:t>
      </w:r>
      <w:r>
        <w:rPr>
          <w:rFonts w:hint="eastAsia" w:ascii="仿宋_GB2312" w:eastAsia="仿宋_GB2312"/>
          <w:b w:val="0"/>
          <w:bCs w:val="0"/>
          <w:sz w:val="32"/>
          <w:szCs w:val="32"/>
          <w:highlight w:val="none"/>
          <w:lang w:val="en-US" w:eastAsia="zh-CN"/>
        </w:rPr>
        <w:t>的用地规模、功能需要。</w:t>
      </w:r>
    </w:p>
    <w:p w14:paraId="4EA957E3">
      <w:pPr>
        <w:keepNext w:val="0"/>
        <w:keepLines w:val="0"/>
        <w:pageBreakBefore w:val="0"/>
        <w:widowControl w:val="0"/>
        <w:kinsoku/>
        <w:wordWrap/>
        <w:overflowPunct/>
        <w:topLinePunct w:val="0"/>
        <w:autoSpaceDE/>
        <w:autoSpaceDN/>
        <w:bidi w:val="0"/>
        <w:adjustRightInd/>
        <w:snapToGrid/>
        <w:spacing w:line="240" w:lineRule="auto"/>
        <w:ind w:firstLine="643" w:firstLineChars="200"/>
        <w:textAlignment w:val="auto"/>
        <w:rPr>
          <w:rFonts w:hint="eastAsia" w:ascii="仿宋" w:hAnsi="仿宋" w:eastAsia="仿宋" w:cs="方正小标宋简体"/>
          <w:sz w:val="32"/>
          <w:szCs w:val="32"/>
          <w:highlight w:val="none"/>
          <w:lang w:val="en-US" w:eastAsia="zh-CN"/>
        </w:rPr>
      </w:pPr>
      <w:r>
        <w:rPr>
          <w:rFonts w:hint="eastAsia" w:ascii="楷体" w:hAnsi="楷体" w:eastAsia="楷体" w:cs="楷体"/>
          <w:b/>
          <w:bCs/>
          <w:sz w:val="32"/>
          <w:szCs w:val="32"/>
          <w:highlight w:val="none"/>
          <w:lang w:val="en-US" w:eastAsia="zh-CN"/>
        </w:rPr>
        <w:t>（四）</w:t>
      </w:r>
      <w:r>
        <w:rPr>
          <w:rFonts w:hint="default" w:ascii="楷体" w:hAnsi="楷体" w:eastAsia="楷体" w:cs="楷体"/>
          <w:b/>
          <w:bCs/>
          <w:sz w:val="32"/>
          <w:szCs w:val="32"/>
          <w:highlight w:val="none"/>
          <w:lang w:val="en-US" w:eastAsia="zh-CN"/>
        </w:rPr>
        <w:t>强化配建管理</w:t>
      </w:r>
      <w:r>
        <w:rPr>
          <w:rFonts w:hint="eastAsia" w:ascii="楷体" w:hAnsi="楷体" w:eastAsia="楷体" w:cs="楷体"/>
          <w:b/>
          <w:bCs/>
          <w:sz w:val="32"/>
          <w:szCs w:val="32"/>
          <w:highlight w:val="none"/>
          <w:lang w:val="en-US" w:eastAsia="zh-CN"/>
        </w:rPr>
        <w:t>，</w:t>
      </w:r>
      <w:r>
        <w:rPr>
          <w:rFonts w:hint="default" w:ascii="楷体" w:hAnsi="楷体" w:eastAsia="楷体" w:cs="楷体"/>
          <w:b/>
          <w:bCs/>
          <w:sz w:val="32"/>
          <w:szCs w:val="32"/>
          <w:highlight w:val="none"/>
          <w:lang w:val="en-US" w:eastAsia="zh-CN"/>
        </w:rPr>
        <w:t>有效满足居民就近医疗服务需求</w:t>
      </w:r>
      <w:r>
        <w:rPr>
          <w:rFonts w:hint="eastAsia" w:ascii="楷体" w:hAnsi="楷体" w:eastAsia="楷体" w:cs="楷体"/>
          <w:b/>
          <w:bCs/>
          <w:sz w:val="32"/>
          <w:szCs w:val="32"/>
          <w:highlight w:val="none"/>
          <w:lang w:val="en-US" w:eastAsia="zh-CN"/>
        </w:rPr>
        <w:t>。</w:t>
      </w:r>
      <w:r>
        <w:rPr>
          <w:rFonts w:hint="default" w:ascii="仿宋" w:hAnsi="仿宋" w:eastAsia="仿宋" w:cs="方正小标宋简体"/>
          <w:sz w:val="32"/>
          <w:szCs w:val="32"/>
          <w:highlight w:val="none"/>
          <w:lang w:eastAsia="zh-CN"/>
        </w:rPr>
        <w:t>明确规定</w:t>
      </w:r>
      <w:r>
        <w:rPr>
          <w:rFonts w:hint="eastAsia" w:ascii="仿宋" w:hAnsi="仿宋" w:eastAsia="仿宋" w:cs="方正小标宋简体"/>
          <w:sz w:val="32"/>
          <w:szCs w:val="32"/>
          <w:highlight w:val="none"/>
          <w:lang w:val="en-US" w:eastAsia="zh-CN"/>
        </w:rPr>
        <w:t>了</w:t>
      </w:r>
      <w:r>
        <w:rPr>
          <w:rFonts w:hint="eastAsia" w:ascii="仿宋" w:hAnsi="仿宋" w:eastAsia="仿宋" w:cs="方正小标宋简体"/>
          <w:sz w:val="32"/>
          <w:szCs w:val="32"/>
          <w:highlight w:val="none"/>
        </w:rPr>
        <w:t>新建</w:t>
      </w:r>
      <w:r>
        <w:rPr>
          <w:rFonts w:hint="eastAsia" w:ascii="仿宋" w:hAnsi="仿宋" w:eastAsia="仿宋" w:cs="方正小标宋简体"/>
          <w:sz w:val="32"/>
          <w:szCs w:val="32"/>
          <w:highlight w:val="none"/>
          <w:lang w:eastAsia="zh-CN"/>
        </w:rPr>
        <w:t>、</w:t>
      </w:r>
      <w:r>
        <w:rPr>
          <w:rFonts w:hint="eastAsia" w:ascii="仿宋" w:hAnsi="仿宋" w:eastAsia="仿宋" w:cs="方正小标宋简体"/>
          <w:sz w:val="32"/>
          <w:szCs w:val="32"/>
          <w:highlight w:val="none"/>
          <w:lang w:val="en-US" w:eastAsia="zh-CN"/>
        </w:rPr>
        <w:t>改建、扩建</w:t>
      </w:r>
      <w:r>
        <w:rPr>
          <w:rFonts w:hint="eastAsia" w:ascii="仿宋" w:hAnsi="仿宋" w:eastAsia="仿宋" w:cs="方正小标宋简体"/>
          <w:sz w:val="32"/>
          <w:szCs w:val="32"/>
          <w:highlight w:val="none"/>
        </w:rPr>
        <w:t>的居民住宅小区</w:t>
      </w:r>
      <w:r>
        <w:rPr>
          <w:rFonts w:hint="eastAsia" w:ascii="仿宋" w:hAnsi="仿宋" w:eastAsia="仿宋" w:cs="方正小标宋简体"/>
          <w:sz w:val="32"/>
          <w:szCs w:val="32"/>
          <w:highlight w:val="none"/>
          <w:lang w:val="en-US" w:eastAsia="zh-CN"/>
        </w:rPr>
        <w:t>配套建设的社区卫生服务设施应当由建设单位配建。对配建的社区卫生服务设施增加了与建设项目同步验收的要求，对配建医疗卫生设施的竣工验收和移交管理进行了明确规定。</w:t>
      </w:r>
    </w:p>
    <w:p w14:paraId="7EDE5E6F">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此外，因机构改革、部门职能、行政区划调整等，对相应部门名称、职责等内容进行了修订，并对部分条款顺序和序号作了调整。</w:t>
      </w:r>
    </w:p>
    <w:p w14:paraId="7E5A2AFB">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以上说明，连同《条例（修订草案）》请一并予以</w:t>
      </w:r>
      <w:r>
        <w:rPr>
          <w:rFonts w:hint="eastAsia" w:ascii="仿宋_GB2312" w:hAnsi="仿宋_GB2312" w:eastAsia="仿宋_GB2312" w:cs="仿宋_GB2312"/>
          <w:color w:val="auto"/>
          <w:sz w:val="32"/>
          <w:szCs w:val="32"/>
          <w:highlight w:val="none"/>
          <w:lang w:val="en-US" w:eastAsia="zh-CN"/>
        </w:rPr>
        <w:t>审议</w:t>
      </w:r>
      <w:r>
        <w:rPr>
          <w:rFonts w:hint="eastAsia" w:ascii="仿宋_GB2312" w:hAnsi="仿宋_GB2312" w:eastAsia="仿宋_GB2312" w:cs="仿宋_GB2312"/>
          <w:color w:val="auto"/>
          <w:sz w:val="32"/>
          <w:szCs w:val="32"/>
          <w:highlight w:val="none"/>
          <w:lang w:eastAsia="zh-CN"/>
        </w:rPr>
        <w:t>。</w:t>
      </w:r>
    </w:p>
    <w:p w14:paraId="0B44B84E">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0"/>
        <w:jc w:val="left"/>
        <w:textAlignment w:val="auto"/>
        <w:rPr>
          <w:rFonts w:hint="eastAsia" w:ascii="仿宋_GB2312" w:hAnsi="仿宋_GB2312" w:eastAsia="仿宋_GB2312" w:cs="仿宋_GB2312"/>
          <w:b w:val="0"/>
          <w:bCs w:val="0"/>
          <w:i w:val="0"/>
          <w:iCs w:val="0"/>
          <w:caps w:val="0"/>
          <w:color w:val="000000"/>
          <w:spacing w:val="0"/>
          <w:sz w:val="32"/>
          <w:szCs w:val="32"/>
          <w:highlight w:val="none"/>
          <w:lang w:val="en-US" w:eastAsia="zh-CN"/>
        </w:rPr>
      </w:pPr>
      <w:r>
        <w:rPr>
          <w:color w:val="auto"/>
          <w:highlight w:val="none"/>
        </w:rPr>
        <w:br w:type="page"/>
      </w:r>
    </w:p>
    <w:p w14:paraId="55056074">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bCs/>
          <w:kern w:val="0"/>
          <w:sz w:val="44"/>
          <w:szCs w:val="44"/>
          <w:highlight w:val="none"/>
        </w:rPr>
      </w:pPr>
    </w:p>
    <w:p w14:paraId="22907474">
      <w:pPr>
        <w:autoSpaceDE w:val="0"/>
        <w:autoSpaceDN w:val="0"/>
        <w:adjustRightInd w:val="0"/>
        <w:spacing w:line="640" w:lineRule="exact"/>
        <w:jc w:val="center"/>
        <w:rPr>
          <w:rFonts w:hint="eastAsia"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bCs/>
          <w:color w:val="auto"/>
          <w:spacing w:val="0"/>
          <w:kern w:val="0"/>
          <w:sz w:val="44"/>
          <w:szCs w:val="44"/>
          <w:highlight w:val="none"/>
        </w:rPr>
        <w:t>石家庄市</w:t>
      </w:r>
      <w:r>
        <w:rPr>
          <w:rFonts w:hint="eastAsia" w:ascii="方正小标宋简体" w:hAnsi="方正小标宋简体" w:eastAsia="方正小标宋简体" w:cs="方正小标宋简体"/>
          <w:bCs/>
          <w:color w:val="auto"/>
          <w:spacing w:val="0"/>
          <w:kern w:val="0"/>
          <w:sz w:val="44"/>
          <w:szCs w:val="44"/>
          <w:highlight w:val="none"/>
          <w:lang w:val="en-US" w:eastAsia="zh-CN"/>
        </w:rPr>
        <w:t>人民代表大会</w:t>
      </w:r>
      <w:r>
        <w:rPr>
          <w:rFonts w:hint="eastAsia" w:ascii="方正小标宋简体" w:hAnsi="方正小标宋简体" w:eastAsia="方正小标宋简体" w:cs="方正小标宋简体"/>
          <w:bCs/>
          <w:color w:val="auto"/>
          <w:spacing w:val="0"/>
          <w:kern w:val="0"/>
          <w:sz w:val="44"/>
          <w:szCs w:val="44"/>
          <w:highlight w:val="none"/>
        </w:rPr>
        <w:t>法制委员会</w:t>
      </w:r>
    </w:p>
    <w:p w14:paraId="5EBA7D2A">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default" w:ascii="方正小标宋简体" w:hAnsi="方正小标宋简体" w:eastAsia="方正小标宋简体" w:cs="方正小标宋简体"/>
          <w:sz w:val="44"/>
          <w:szCs w:val="44"/>
          <w:highlight w:val="none"/>
          <w:lang w:val="en-US" w:eastAsia="zh-CN"/>
        </w:rPr>
      </w:pPr>
      <w:r>
        <w:rPr>
          <w:rFonts w:hint="eastAsia" w:ascii="方正小标宋简体" w:hAnsi="方正小标宋简体" w:eastAsia="方正小标宋简体" w:cs="方正小标宋简体"/>
          <w:bCs/>
          <w:kern w:val="0"/>
          <w:sz w:val="44"/>
          <w:szCs w:val="44"/>
          <w:highlight w:val="none"/>
        </w:rPr>
        <w:t>关于《</w:t>
      </w:r>
      <w:r>
        <w:rPr>
          <w:rFonts w:hint="eastAsia" w:ascii="方正小标宋简体" w:hAnsi="方正小标宋简体" w:eastAsia="方正小标宋简体" w:cs="方正小标宋简体"/>
          <w:sz w:val="44"/>
          <w:szCs w:val="44"/>
          <w:highlight w:val="none"/>
        </w:rPr>
        <w:t>石家庄市</w:t>
      </w:r>
      <w:r>
        <w:rPr>
          <w:rFonts w:hint="eastAsia" w:ascii="方正小标宋简体" w:hAnsi="方正小标宋简体" w:eastAsia="方正小标宋简体" w:cs="方正小标宋简体"/>
          <w:sz w:val="44"/>
          <w:szCs w:val="44"/>
          <w:highlight w:val="none"/>
          <w:lang w:val="en-US" w:eastAsia="zh-CN"/>
        </w:rPr>
        <w:t>医疗卫生设施规划建设管理</w:t>
      </w:r>
    </w:p>
    <w:p w14:paraId="04CB8CFE">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ascii="方正小标宋简体" w:hAnsi="方正小标宋简体" w:eastAsia="方正小标宋简体" w:cs="方正小标宋简体"/>
          <w:bCs/>
          <w:kern w:val="0"/>
          <w:sz w:val="44"/>
          <w:szCs w:val="44"/>
          <w:highlight w:val="none"/>
        </w:rPr>
      </w:pPr>
      <w:r>
        <w:rPr>
          <w:rFonts w:hint="eastAsia" w:ascii="方正小标宋简体" w:hAnsi="方正小标宋简体" w:eastAsia="方正小标宋简体" w:cs="方正小标宋简体"/>
          <w:sz w:val="44"/>
          <w:szCs w:val="44"/>
          <w:highlight w:val="none"/>
          <w:lang w:eastAsia="zh-CN"/>
        </w:rPr>
        <w:t>条例</w:t>
      </w:r>
      <w:r>
        <w:rPr>
          <w:rFonts w:hint="eastAsia" w:ascii="方正小标宋简体" w:hAnsi="方正小标宋简体" w:eastAsia="方正小标宋简体" w:cs="方正小标宋简体"/>
          <w:bCs/>
          <w:kern w:val="0"/>
          <w:sz w:val="44"/>
          <w:szCs w:val="44"/>
          <w:highlight w:val="none"/>
        </w:rPr>
        <w:t>（</w:t>
      </w:r>
      <w:r>
        <w:rPr>
          <w:rFonts w:hint="eastAsia" w:ascii="方正小标宋简体" w:hAnsi="方正小标宋简体" w:eastAsia="方正小标宋简体" w:cs="方正小标宋简体"/>
          <w:bCs/>
          <w:kern w:val="0"/>
          <w:sz w:val="44"/>
          <w:szCs w:val="44"/>
          <w:highlight w:val="none"/>
          <w:lang w:val="en-US" w:eastAsia="zh-CN"/>
        </w:rPr>
        <w:t>修订</w:t>
      </w:r>
      <w:r>
        <w:rPr>
          <w:rFonts w:hint="eastAsia" w:ascii="方正小标宋简体" w:hAnsi="方正小标宋简体" w:eastAsia="方正小标宋简体" w:cs="方正小标宋简体"/>
          <w:bCs/>
          <w:kern w:val="0"/>
          <w:sz w:val="44"/>
          <w:szCs w:val="44"/>
          <w:highlight w:val="none"/>
        </w:rPr>
        <w:t>草案）》审议结果的报告</w:t>
      </w:r>
    </w:p>
    <w:p w14:paraId="2B10BD44">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default" w:ascii="楷体" w:hAnsi="楷体" w:eastAsia="楷体" w:cs="FZKTK--GBK1-0"/>
          <w:bCs/>
          <w:kern w:val="0"/>
          <w:sz w:val="32"/>
          <w:szCs w:val="32"/>
          <w:highlight w:val="none"/>
          <w:lang w:val="en-US" w:eastAsia="zh-CN"/>
        </w:rPr>
      </w:pPr>
      <w:r>
        <w:rPr>
          <w:rFonts w:hint="eastAsia" w:ascii="楷体" w:hAnsi="楷体" w:eastAsia="楷体" w:cs="FZKTK--GBK1-0"/>
          <w:bCs/>
          <w:kern w:val="0"/>
          <w:sz w:val="32"/>
          <w:szCs w:val="32"/>
          <w:highlight w:val="none"/>
        </w:rPr>
        <w:t>——</w:t>
      </w:r>
      <w:r>
        <w:rPr>
          <w:rFonts w:ascii="楷体" w:hAnsi="楷体" w:eastAsia="楷体" w:cs="FZKTK--GBK1-0"/>
          <w:bCs/>
          <w:kern w:val="0"/>
          <w:sz w:val="32"/>
          <w:szCs w:val="32"/>
          <w:highlight w:val="none"/>
        </w:rPr>
        <w:t>202</w:t>
      </w:r>
      <w:r>
        <w:rPr>
          <w:rFonts w:hint="eastAsia" w:ascii="楷体" w:hAnsi="楷体" w:eastAsia="楷体" w:cs="FZKTK--GBK1-0"/>
          <w:bCs/>
          <w:kern w:val="0"/>
          <w:sz w:val="32"/>
          <w:szCs w:val="32"/>
          <w:highlight w:val="none"/>
        </w:rPr>
        <w:t>4年</w:t>
      </w:r>
      <w:r>
        <w:rPr>
          <w:rFonts w:ascii="楷体" w:hAnsi="楷体" w:eastAsia="楷体" w:cs="FZKTK--GBK1-0"/>
          <w:bCs/>
          <w:kern w:val="0"/>
          <w:sz w:val="32"/>
          <w:szCs w:val="32"/>
          <w:highlight w:val="none"/>
        </w:rPr>
        <w:t>10</w:t>
      </w:r>
      <w:r>
        <w:rPr>
          <w:rFonts w:hint="eastAsia" w:ascii="楷体" w:hAnsi="楷体" w:eastAsia="楷体" w:cs="FZKTK--GBK1-0"/>
          <w:bCs/>
          <w:kern w:val="0"/>
          <w:sz w:val="32"/>
          <w:szCs w:val="32"/>
          <w:highlight w:val="none"/>
        </w:rPr>
        <w:t>月2</w:t>
      </w:r>
      <w:r>
        <w:rPr>
          <w:rFonts w:hint="eastAsia" w:ascii="楷体" w:hAnsi="楷体" w:eastAsia="楷体" w:cs="FZKTK--GBK1-0"/>
          <w:bCs/>
          <w:kern w:val="0"/>
          <w:sz w:val="32"/>
          <w:szCs w:val="32"/>
          <w:highlight w:val="none"/>
          <w:lang w:val="en-US" w:eastAsia="zh-CN"/>
        </w:rPr>
        <w:t>9</w:t>
      </w:r>
      <w:r>
        <w:rPr>
          <w:rFonts w:hint="eastAsia" w:ascii="楷体" w:hAnsi="楷体" w:eastAsia="楷体" w:cs="FZKTK--GBK1-0"/>
          <w:bCs/>
          <w:kern w:val="0"/>
          <w:sz w:val="32"/>
          <w:szCs w:val="32"/>
          <w:highlight w:val="none"/>
        </w:rPr>
        <w:t>日在石家庄市第十五届</w:t>
      </w:r>
      <w:r>
        <w:rPr>
          <w:rFonts w:hint="eastAsia" w:ascii="楷体" w:hAnsi="楷体" w:eastAsia="楷体" w:cs="FZKTK--GBK1-0"/>
          <w:bCs/>
          <w:kern w:val="0"/>
          <w:sz w:val="32"/>
          <w:szCs w:val="32"/>
          <w:highlight w:val="none"/>
          <w:lang w:val="en-US" w:eastAsia="zh-CN"/>
        </w:rPr>
        <w:t>人民代表大会</w:t>
      </w:r>
    </w:p>
    <w:p w14:paraId="7533362E">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ascii="楷体" w:hAnsi="楷体" w:eastAsia="楷体" w:cs="FZKTK--GBK1-0"/>
          <w:bCs/>
          <w:kern w:val="0"/>
          <w:sz w:val="32"/>
          <w:szCs w:val="32"/>
          <w:highlight w:val="none"/>
        </w:rPr>
      </w:pPr>
      <w:r>
        <w:rPr>
          <w:rFonts w:hint="eastAsia" w:ascii="楷体" w:hAnsi="楷体" w:eastAsia="楷体" w:cs="FZKTK--GBK1-0"/>
          <w:bCs/>
          <w:kern w:val="0"/>
          <w:sz w:val="32"/>
          <w:szCs w:val="32"/>
          <w:highlight w:val="none"/>
          <w:lang w:val="en-US" w:eastAsia="zh-CN"/>
        </w:rPr>
        <w:t>常务委员</w:t>
      </w:r>
      <w:r>
        <w:rPr>
          <w:rFonts w:hint="eastAsia" w:ascii="楷体" w:hAnsi="楷体" w:eastAsia="楷体" w:cs="FZKTK--GBK1-0"/>
          <w:bCs/>
          <w:kern w:val="0"/>
          <w:sz w:val="32"/>
          <w:szCs w:val="32"/>
          <w:highlight w:val="none"/>
        </w:rPr>
        <w:t>会第二十九次会议上</w:t>
      </w:r>
    </w:p>
    <w:p w14:paraId="732530A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 w:hAnsi="楷体" w:eastAsia="楷体" w:cs="楷体"/>
          <w:sz w:val="32"/>
          <w:szCs w:val="32"/>
          <w:highlight w:val="none"/>
          <w:lang w:val="en-US" w:eastAsia="zh-CN"/>
        </w:rPr>
      </w:pPr>
      <w:r>
        <w:rPr>
          <w:rFonts w:hint="eastAsia" w:ascii="楷体" w:hAnsi="楷体" w:eastAsia="楷体" w:cs="楷体"/>
          <w:sz w:val="32"/>
          <w:szCs w:val="32"/>
          <w:highlight w:val="none"/>
          <w:lang w:val="en-US" w:eastAsia="zh-CN"/>
        </w:rPr>
        <w:t>石家庄市人民代表大会法制委员会副主任委员  时洪斌</w:t>
      </w:r>
    </w:p>
    <w:p w14:paraId="0DF444CF">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_GB2312" w:hAnsi="仿宋_GB2312" w:eastAsia="仿宋_GB2312" w:cs="仿宋_GB2312"/>
          <w:kern w:val="0"/>
          <w:sz w:val="32"/>
          <w:szCs w:val="32"/>
          <w:highlight w:val="none"/>
        </w:rPr>
      </w:pPr>
    </w:p>
    <w:p w14:paraId="39FC98D4">
      <w:pPr>
        <w:keepNext w:val="0"/>
        <w:keepLines w:val="0"/>
        <w:pageBreakBefore w:val="0"/>
        <w:widowControl w:val="0"/>
        <w:kinsoku/>
        <w:wordWrap/>
        <w:overflowPunct/>
        <w:topLinePunct w:val="0"/>
        <w:autoSpaceDE w:val="0"/>
        <w:autoSpaceDN w:val="0"/>
        <w:bidi w:val="0"/>
        <w:adjustRightInd w:val="0"/>
        <w:snapToGrid/>
        <w:spacing w:line="640" w:lineRule="exact"/>
        <w:textAlignment w:val="auto"/>
        <w:rPr>
          <w:rFonts w:hint="eastAsia" w:ascii="仿宋" w:hAnsi="仿宋" w:eastAsia="仿宋" w:cs="FZFSK--GBK1-0"/>
          <w:kern w:val="0"/>
          <w:sz w:val="32"/>
          <w:szCs w:val="32"/>
          <w:highlight w:val="none"/>
        </w:rPr>
      </w:pPr>
      <w:r>
        <w:rPr>
          <w:rFonts w:hint="eastAsia" w:ascii="仿宋_GB2312" w:hAnsi="仿宋_GB2312" w:eastAsia="仿宋_GB2312" w:cs="仿宋_GB2312"/>
          <w:kern w:val="0"/>
          <w:sz w:val="32"/>
          <w:szCs w:val="32"/>
          <w:highlight w:val="none"/>
        </w:rPr>
        <w:t>主任、各位副主任、秘书长、各位委员:</w:t>
      </w:r>
    </w:p>
    <w:p w14:paraId="039AFEE0">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我受市人大法制委员会委托</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现就《</w:t>
      </w:r>
      <w:r>
        <w:rPr>
          <w:rFonts w:hint="eastAsia" w:ascii="仿宋_GB2312" w:hAnsi="仿宋_GB2312" w:eastAsia="仿宋_GB2312" w:cs="仿宋_GB2312"/>
          <w:kern w:val="0"/>
          <w:sz w:val="32"/>
          <w:szCs w:val="32"/>
          <w:highlight w:val="none"/>
          <w:lang w:eastAsia="zh-CN"/>
        </w:rPr>
        <w:t>石家庄市</w:t>
      </w:r>
      <w:r>
        <w:rPr>
          <w:rFonts w:hint="eastAsia" w:ascii="仿宋_GB2312" w:hAnsi="仿宋_GB2312" w:eastAsia="仿宋_GB2312" w:cs="仿宋_GB2312"/>
          <w:kern w:val="0"/>
          <w:sz w:val="32"/>
          <w:szCs w:val="32"/>
          <w:highlight w:val="none"/>
          <w:lang w:val="en-US" w:eastAsia="zh-CN"/>
        </w:rPr>
        <w:t>医疗卫生设施规划建设管理</w:t>
      </w:r>
      <w:r>
        <w:rPr>
          <w:rFonts w:hint="eastAsia" w:ascii="仿宋_GB2312" w:hAnsi="仿宋_GB2312" w:eastAsia="仿宋_GB2312" w:cs="仿宋_GB2312"/>
          <w:kern w:val="0"/>
          <w:sz w:val="32"/>
          <w:szCs w:val="32"/>
          <w:highlight w:val="none"/>
          <w:lang w:eastAsia="zh-CN"/>
        </w:rPr>
        <w:t>条例</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val="en-US" w:eastAsia="zh-CN"/>
        </w:rPr>
        <w:t>修订</w:t>
      </w:r>
      <w:r>
        <w:rPr>
          <w:rFonts w:hint="eastAsia" w:ascii="仿宋_GB2312" w:hAnsi="仿宋_GB2312" w:eastAsia="仿宋_GB2312" w:cs="仿宋_GB2312"/>
          <w:kern w:val="0"/>
          <w:sz w:val="32"/>
          <w:szCs w:val="32"/>
          <w:highlight w:val="none"/>
        </w:rPr>
        <w:t>草案）》</w:t>
      </w:r>
      <w:r>
        <w:rPr>
          <w:rFonts w:hint="eastAsia" w:ascii="仿宋_GB2312" w:hAnsi="仿宋_GB2312" w:eastAsia="仿宋_GB2312" w:cs="仿宋_GB2312"/>
          <w:sz w:val="32"/>
          <w:szCs w:val="32"/>
          <w:highlight w:val="none"/>
        </w:rPr>
        <w:t>（以下简称《条例（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kern w:val="0"/>
          <w:sz w:val="32"/>
          <w:szCs w:val="32"/>
          <w:highlight w:val="none"/>
        </w:rPr>
        <w:t>的审议结果报告如下:</w:t>
      </w:r>
    </w:p>
    <w:p w14:paraId="3A96E524">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仿宋_GB2312" w:hAnsi="仿宋_GB2312" w:eastAsia="仿宋_GB2312" w:cs="仿宋_GB2312"/>
          <w:color w:val="0000FF"/>
          <w:kern w:val="0"/>
          <w:sz w:val="32"/>
          <w:szCs w:val="32"/>
          <w:highlight w:val="none"/>
        </w:rPr>
      </w:pP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草案）》于</w:t>
      </w:r>
      <w:r>
        <w:rPr>
          <w:rFonts w:hint="eastAsia" w:ascii="仿宋_GB2312" w:hAnsi="仿宋_GB2312" w:eastAsia="仿宋_GB2312" w:cs="仿宋_GB2312"/>
          <w:sz w:val="32"/>
          <w:szCs w:val="32"/>
          <w:highlight w:val="none"/>
          <w:lang w:val="en-US" w:eastAsia="zh-CN"/>
        </w:rPr>
        <w:t>2024年10月28日</w:t>
      </w:r>
      <w:r>
        <w:rPr>
          <w:rFonts w:hint="eastAsia" w:ascii="仿宋_GB2312" w:hAnsi="仿宋_GB2312" w:eastAsia="仿宋_GB2312" w:cs="仿宋_GB2312"/>
          <w:sz w:val="32"/>
          <w:szCs w:val="32"/>
          <w:highlight w:val="none"/>
        </w:rPr>
        <w:t>经市第十五届人大常委会第</w:t>
      </w:r>
      <w:r>
        <w:rPr>
          <w:rFonts w:hint="eastAsia" w:ascii="仿宋_GB2312" w:hAnsi="仿宋_GB2312" w:eastAsia="仿宋_GB2312" w:cs="仿宋_GB2312"/>
          <w:sz w:val="32"/>
          <w:szCs w:val="32"/>
          <w:highlight w:val="none"/>
          <w:lang w:val="en-US" w:eastAsia="zh-CN"/>
        </w:rPr>
        <w:t>二十九</w:t>
      </w:r>
      <w:r>
        <w:rPr>
          <w:rFonts w:hint="eastAsia" w:ascii="仿宋_GB2312" w:hAnsi="仿宋_GB2312" w:eastAsia="仿宋_GB2312" w:cs="仿宋_GB2312"/>
          <w:sz w:val="32"/>
          <w:szCs w:val="32"/>
          <w:highlight w:val="none"/>
        </w:rPr>
        <w:t>次会议</w:t>
      </w:r>
      <w:r>
        <w:rPr>
          <w:rFonts w:hint="eastAsia" w:ascii="仿宋_GB2312" w:hAnsi="仿宋_GB2312" w:eastAsia="仿宋_GB2312" w:cs="仿宋_GB2312"/>
          <w:sz w:val="32"/>
          <w:szCs w:val="32"/>
          <w:highlight w:val="none"/>
          <w:lang w:val="en-US" w:eastAsia="zh-CN"/>
        </w:rPr>
        <w:t>第一次</w:t>
      </w:r>
      <w:r>
        <w:rPr>
          <w:rFonts w:hint="eastAsia" w:ascii="仿宋_GB2312" w:hAnsi="仿宋_GB2312" w:eastAsia="仿宋_GB2312" w:cs="仿宋_GB2312"/>
          <w:sz w:val="32"/>
          <w:szCs w:val="32"/>
          <w:highlight w:val="none"/>
        </w:rPr>
        <w:t>审议后，</w:t>
      </w:r>
      <w:r>
        <w:rPr>
          <w:rFonts w:hint="eastAsia" w:ascii="仿宋_GB2312" w:hAnsi="仿宋_GB2312" w:eastAsia="仿宋_GB2312" w:cs="仿宋_GB2312"/>
          <w:sz w:val="32"/>
          <w:szCs w:val="32"/>
          <w:highlight w:val="none"/>
          <w:lang w:val="en-US" w:eastAsia="zh-CN"/>
        </w:rPr>
        <w:t>市人大常委会法工委会同市卫健委</w:t>
      </w:r>
      <w:r>
        <w:rPr>
          <w:rFonts w:hint="eastAsia" w:ascii="仿宋_GB2312" w:hAnsi="仿宋_GB2312" w:eastAsia="仿宋_GB2312" w:cs="仿宋_GB2312"/>
          <w:kern w:val="0"/>
          <w:sz w:val="32"/>
          <w:szCs w:val="32"/>
          <w:highlight w:val="none"/>
          <w:u w:val="none"/>
          <w:lang w:val="en-US" w:eastAsia="zh-CN"/>
        </w:rPr>
        <w:t>根据</w:t>
      </w:r>
      <w:r>
        <w:rPr>
          <w:rFonts w:hint="eastAsia" w:ascii="仿宋_GB2312" w:hAnsi="仿宋_GB2312" w:eastAsia="仿宋_GB2312" w:cs="仿宋_GB2312"/>
          <w:kern w:val="0"/>
          <w:sz w:val="32"/>
          <w:szCs w:val="32"/>
          <w:highlight w:val="none"/>
          <w:u w:val="none"/>
          <w:lang w:eastAsia="zh-CN"/>
        </w:rPr>
        <w:t>本次市人大常委会会议的审议意见和</w:t>
      </w:r>
      <w:r>
        <w:rPr>
          <w:rFonts w:hint="eastAsia" w:ascii="仿宋_GB2312" w:hAnsi="仿宋_GB2312" w:eastAsia="仿宋_GB2312" w:cs="仿宋_GB2312"/>
          <w:kern w:val="0"/>
          <w:sz w:val="32"/>
          <w:szCs w:val="32"/>
          <w:highlight w:val="none"/>
          <w:u w:val="none"/>
        </w:rPr>
        <w:t>市</w:t>
      </w:r>
      <w:r>
        <w:rPr>
          <w:rFonts w:hint="eastAsia" w:ascii="仿宋_GB2312" w:hAnsi="仿宋_GB2312" w:eastAsia="仿宋_GB2312" w:cs="仿宋_GB2312"/>
          <w:kern w:val="0"/>
          <w:sz w:val="32"/>
          <w:szCs w:val="32"/>
          <w:highlight w:val="none"/>
          <w:u w:val="none"/>
          <w:lang w:val="en-US" w:eastAsia="zh-CN"/>
        </w:rPr>
        <w:t>人大教科文卫</w:t>
      </w:r>
      <w:r>
        <w:rPr>
          <w:rFonts w:hint="eastAsia" w:ascii="仿宋_GB2312" w:hAnsi="仿宋_GB2312" w:eastAsia="仿宋_GB2312" w:cs="仿宋_GB2312"/>
          <w:kern w:val="0"/>
          <w:sz w:val="32"/>
          <w:szCs w:val="32"/>
          <w:highlight w:val="none"/>
          <w:u w:val="none"/>
          <w:lang w:eastAsia="zh-CN"/>
        </w:rPr>
        <w:t>委员会的初审意见，</w:t>
      </w:r>
      <w:r>
        <w:rPr>
          <w:rFonts w:hint="eastAsia" w:ascii="仿宋_GB2312" w:hAnsi="仿宋_GB2312" w:eastAsia="仿宋_GB2312" w:cs="仿宋_GB2312"/>
          <w:sz w:val="32"/>
          <w:szCs w:val="32"/>
          <w:highlight w:val="none"/>
        </w:rPr>
        <w:t>对《条例（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进行了认真研究修改。</w:t>
      </w:r>
      <w:r>
        <w:rPr>
          <w:rFonts w:hint="eastAsia" w:ascii="仿宋_GB2312" w:hAnsi="仿宋_GB2312" w:eastAsia="仿宋_GB2312" w:cs="仿宋_GB2312"/>
          <w:kern w:val="0"/>
          <w:sz w:val="32"/>
          <w:szCs w:val="32"/>
          <w:highlight w:val="none"/>
          <w:u w:val="none"/>
          <w:lang w:val="en-US" w:eastAsia="zh-CN"/>
        </w:rPr>
        <w:t>10</w:t>
      </w:r>
      <w:r>
        <w:rPr>
          <w:rFonts w:hint="eastAsia" w:ascii="仿宋_GB2312" w:hAnsi="仿宋_GB2312" w:eastAsia="仿宋_GB2312" w:cs="仿宋_GB2312"/>
          <w:kern w:val="0"/>
          <w:sz w:val="32"/>
          <w:szCs w:val="32"/>
          <w:highlight w:val="none"/>
          <w:u w:val="none"/>
        </w:rPr>
        <w:t>月</w:t>
      </w:r>
      <w:r>
        <w:rPr>
          <w:rFonts w:hint="eastAsia" w:ascii="仿宋_GB2312" w:hAnsi="仿宋_GB2312" w:eastAsia="仿宋_GB2312" w:cs="仿宋_GB2312"/>
          <w:kern w:val="0"/>
          <w:sz w:val="32"/>
          <w:szCs w:val="32"/>
          <w:highlight w:val="none"/>
          <w:u w:val="none"/>
          <w:lang w:val="en-US" w:eastAsia="zh-CN"/>
        </w:rPr>
        <w:t>28</w:t>
      </w:r>
      <w:r>
        <w:rPr>
          <w:rFonts w:hint="eastAsia" w:ascii="仿宋_GB2312" w:hAnsi="仿宋_GB2312" w:eastAsia="仿宋_GB2312" w:cs="仿宋_GB2312"/>
          <w:kern w:val="0"/>
          <w:sz w:val="32"/>
          <w:szCs w:val="32"/>
          <w:highlight w:val="none"/>
          <w:u w:val="none"/>
        </w:rPr>
        <w:t>日</w:t>
      </w:r>
      <w:r>
        <w:rPr>
          <w:rFonts w:hint="eastAsia" w:ascii="仿宋_GB2312" w:hAnsi="仿宋_GB2312" w:eastAsia="仿宋_GB2312" w:cs="仿宋_GB2312"/>
          <w:kern w:val="0"/>
          <w:sz w:val="32"/>
          <w:szCs w:val="32"/>
          <w:highlight w:val="none"/>
          <w:u w:val="none"/>
          <w:lang w:val="en-US" w:eastAsia="zh-CN"/>
        </w:rPr>
        <w:t>下午，市人大法制委员会</w:t>
      </w:r>
      <w:r>
        <w:rPr>
          <w:rFonts w:hint="eastAsia" w:ascii="仿宋_GB2312" w:hAnsi="仿宋_GB2312" w:eastAsia="仿宋_GB2312" w:cs="仿宋_GB2312"/>
          <w:sz w:val="32"/>
          <w:szCs w:val="32"/>
          <w:highlight w:val="none"/>
        </w:rPr>
        <w:t>对《条例（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草案）》进行了统一审议</w:t>
      </w:r>
      <w:r>
        <w:rPr>
          <w:rFonts w:hint="eastAsia" w:ascii="仿宋_GB2312" w:hAnsi="仿宋_GB2312" w:eastAsia="仿宋_GB2312" w:cs="仿宋_GB2312"/>
          <w:kern w:val="0"/>
          <w:sz w:val="32"/>
          <w:szCs w:val="32"/>
          <w:highlight w:val="none"/>
          <w:u w:val="none"/>
          <w:lang w:eastAsia="zh-CN"/>
        </w:rPr>
        <w:t>，</w:t>
      </w:r>
      <w:r>
        <w:rPr>
          <w:rFonts w:hint="eastAsia" w:ascii="仿宋_GB2312" w:hAnsi="仿宋_GB2312" w:eastAsia="仿宋_GB2312" w:cs="仿宋_GB2312"/>
          <w:sz w:val="32"/>
          <w:szCs w:val="32"/>
          <w:highlight w:val="none"/>
          <w:lang w:val="en-US" w:eastAsia="zh-CN"/>
        </w:rPr>
        <w:t>形成了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修改稿</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10月29日，市人大常委会主任会议进行了研究，经市委同意提请本次市人大常委会会议审议。现将主要修改情况报告如下</w:t>
      </w:r>
      <w:r>
        <w:rPr>
          <w:rFonts w:hint="eastAsia" w:ascii="仿宋_GB2312" w:hAnsi="仿宋_GB2312" w:eastAsia="仿宋_GB2312" w:cs="仿宋_GB2312"/>
          <w:kern w:val="0"/>
          <w:sz w:val="32"/>
          <w:szCs w:val="32"/>
          <w:highlight w:val="none"/>
        </w:rPr>
        <w:t>:</w:t>
      </w:r>
    </w:p>
    <w:p w14:paraId="2532D9DA">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default" w:ascii="仿宋_GB2312" w:hAnsi="仿宋_GB2312" w:eastAsia="仿宋_GB2312" w:cs="仿宋_GB2312"/>
          <w:kern w:val="0"/>
          <w:sz w:val="32"/>
          <w:szCs w:val="32"/>
          <w:highlight w:val="none"/>
          <w:u w:val="none"/>
          <w:lang w:val="en-US" w:eastAsia="zh-CN"/>
        </w:rPr>
      </w:pPr>
      <w:r>
        <w:rPr>
          <w:rFonts w:hint="eastAsia" w:ascii="仿宋_GB2312" w:hAnsi="仿宋_GB2312" w:eastAsia="仿宋_GB2312" w:cs="仿宋_GB2312"/>
          <w:kern w:val="0"/>
          <w:sz w:val="32"/>
          <w:szCs w:val="32"/>
          <w:highlight w:val="none"/>
          <w:u w:val="none"/>
          <w:lang w:val="en-US" w:eastAsia="zh-CN"/>
        </w:rPr>
        <w:t>一、根据立法技术规范，将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第二条内容移入第三条作为第二款进行表述。</w:t>
      </w:r>
    </w:p>
    <w:p w14:paraId="09EDF8E4">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kern w:val="0"/>
          <w:sz w:val="32"/>
          <w:szCs w:val="32"/>
          <w:highlight w:val="none"/>
          <w:u w:val="none"/>
          <w:lang w:val="en-US" w:eastAsia="zh-CN"/>
        </w:rPr>
        <w:t>二、根据相关工作实际，在</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第八条中增加“按照职责权限”内容，同时删除第二十七条。</w:t>
      </w:r>
    </w:p>
    <w:p w14:paraId="52982AA5">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三、为解决“预留地”相关规定不够准确问题，将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第十二条修改为“</w:t>
      </w:r>
      <w:r>
        <w:rPr>
          <w:rFonts w:hint="eastAsia" w:ascii="仿宋_GB2312" w:hAnsi="仿宋_GB2312" w:eastAsia="仿宋_GB2312" w:cs="仿宋_GB2312"/>
          <w:sz w:val="32"/>
          <w:szCs w:val="32"/>
          <w:highlight w:val="none"/>
        </w:rPr>
        <w:t>自然资源和规划部门应当按照医疗卫生设施规划确定的</w:t>
      </w:r>
      <w:r>
        <w:rPr>
          <w:rFonts w:hint="eastAsia" w:ascii="仿宋_GB2312" w:hAnsi="仿宋_GB2312" w:eastAsia="仿宋_GB2312" w:cs="仿宋_GB2312"/>
          <w:sz w:val="32"/>
          <w:szCs w:val="32"/>
          <w:highlight w:val="none"/>
          <w:lang w:eastAsia="zh-CN"/>
        </w:rPr>
        <w:t>用地要求</w:t>
      </w:r>
      <w:r>
        <w:rPr>
          <w:rFonts w:hint="eastAsia" w:ascii="仿宋_GB2312" w:hAnsi="仿宋_GB2312" w:eastAsia="仿宋_GB2312" w:cs="仿宋_GB2312"/>
          <w:sz w:val="32"/>
          <w:szCs w:val="32"/>
          <w:highlight w:val="none"/>
        </w:rPr>
        <w:t>，核定医疗卫生设施建设用地的区位和规模</w:t>
      </w:r>
      <w:r>
        <w:rPr>
          <w:rFonts w:hint="eastAsia" w:ascii="仿宋_GB2312" w:hAnsi="仿宋_GB2312" w:eastAsia="仿宋_GB2312" w:cs="仿宋_GB2312"/>
          <w:sz w:val="32"/>
          <w:szCs w:val="32"/>
          <w:highlight w:val="none"/>
          <w:lang w:val="en-US" w:eastAsia="zh-CN"/>
        </w:rPr>
        <w:t>”。</w:t>
      </w:r>
    </w:p>
    <w:p w14:paraId="26DEEDF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highlight w:val="none"/>
          <w:lang w:val="en-US" w:eastAsia="zh-CN"/>
        </w:rPr>
      </w:pPr>
      <w:r>
        <w:rPr>
          <w:rFonts w:hint="eastAsia" w:ascii="仿宋_GB2312" w:hAnsi="仿宋_GB2312" w:eastAsia="仿宋_GB2312" w:cs="仿宋_GB2312"/>
          <w:kern w:val="2"/>
          <w:sz w:val="32"/>
          <w:szCs w:val="32"/>
          <w:highlight w:val="none"/>
          <w:lang w:val="en-US" w:eastAsia="zh-CN" w:bidi="ar-SA"/>
        </w:rPr>
        <w:t>四、为增强法规的前瞻性，避免今后多次修改问题发生，将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第十六条中（一）（二）（三）和第三款内容删除，将第一款修改为“</w:t>
      </w:r>
      <w:r>
        <w:rPr>
          <w:rFonts w:hint="eastAsia" w:ascii="仿宋" w:hAnsi="仿宋" w:eastAsia="仿宋_GB2312" w:cs="仿宋"/>
          <w:sz w:val="32"/>
          <w:szCs w:val="32"/>
          <w:highlight w:val="none"/>
        </w:rPr>
        <w:t>提供基本医疗卫生服务的社区卫生服务中心（站）</w:t>
      </w:r>
      <w:r>
        <w:rPr>
          <w:rFonts w:hint="eastAsia" w:ascii="仿宋" w:hAnsi="仿宋" w:eastAsia="仿宋_GB2312" w:cs="仿宋"/>
          <w:sz w:val="32"/>
          <w:szCs w:val="32"/>
          <w:highlight w:val="none"/>
          <w:lang w:eastAsia="zh-CN"/>
        </w:rPr>
        <w:t>、</w:t>
      </w:r>
      <w:r>
        <w:rPr>
          <w:rFonts w:hint="eastAsia" w:ascii="仿宋" w:hAnsi="仿宋" w:eastAsia="仿宋_GB2312" w:cs="仿宋"/>
          <w:sz w:val="32"/>
          <w:szCs w:val="32"/>
          <w:highlight w:val="none"/>
        </w:rPr>
        <w:t>乡镇卫生院</w:t>
      </w:r>
      <w:r>
        <w:rPr>
          <w:rFonts w:hint="eastAsia" w:ascii="仿宋" w:hAnsi="仿宋" w:eastAsia="仿宋_GB2312" w:cs="仿宋"/>
          <w:sz w:val="32"/>
          <w:szCs w:val="32"/>
          <w:highlight w:val="none"/>
          <w:lang w:eastAsia="zh-CN"/>
        </w:rPr>
        <w:t>、</w:t>
      </w:r>
      <w:r>
        <w:rPr>
          <w:rFonts w:hint="eastAsia" w:ascii="仿宋" w:hAnsi="仿宋" w:eastAsia="仿宋_GB2312" w:cs="仿宋"/>
          <w:sz w:val="32"/>
          <w:szCs w:val="32"/>
          <w:highlight w:val="none"/>
          <w:lang w:val="en-US" w:eastAsia="zh-CN"/>
        </w:rPr>
        <w:t>村卫生室</w:t>
      </w:r>
      <w:r>
        <w:rPr>
          <w:rFonts w:hint="eastAsia" w:ascii="仿宋" w:hAnsi="仿宋" w:eastAsia="仿宋_GB2312" w:cs="仿宋"/>
          <w:sz w:val="32"/>
          <w:szCs w:val="32"/>
          <w:highlight w:val="none"/>
        </w:rPr>
        <w:t>按照</w:t>
      </w:r>
      <w:r>
        <w:rPr>
          <w:rFonts w:hint="eastAsia" w:ascii="仿宋_GB2312" w:hAnsi="仿宋_GB2312" w:eastAsia="仿宋_GB2312" w:cs="仿宋_GB2312"/>
          <w:sz w:val="32"/>
          <w:szCs w:val="32"/>
          <w:highlight w:val="none"/>
          <w:lang w:eastAsia="zh-CN"/>
        </w:rPr>
        <w:t>国家和省有关规定</w:t>
      </w:r>
      <w:r>
        <w:rPr>
          <w:rFonts w:hint="eastAsia" w:ascii="仿宋_GB2312" w:hAnsi="仿宋_GB2312" w:eastAsia="仿宋_GB2312" w:cs="仿宋_GB2312"/>
          <w:sz w:val="32"/>
          <w:szCs w:val="32"/>
          <w:highlight w:val="none"/>
        </w:rPr>
        <w:t>建设</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w:t>
      </w:r>
    </w:p>
    <w:p w14:paraId="259C28A7">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五、为避免产生不同理解和相关内容与其他条款内容重复问题，将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第二十条删除。</w:t>
      </w:r>
    </w:p>
    <w:p w14:paraId="3A50F8C5">
      <w:pPr>
        <w:pStyle w:val="2"/>
        <w:keepNext w:val="0"/>
        <w:keepLines w:val="0"/>
        <w:pageBreakBefore w:val="0"/>
        <w:widowControl w:val="0"/>
        <w:kinsoku/>
        <w:wordWrap/>
        <w:overflowPunct/>
        <w:topLinePunct w:val="0"/>
        <w:bidi w:val="0"/>
        <w:snapToGrid/>
        <w:spacing w:after="0" w:line="64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六、将</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第二十二条中“由建设单位配建。配建的社区卫生服务设施应当”内容删除，将第二十四条中的“无偿移交”修改为“按照有关规定或者合同约定移交”。</w:t>
      </w:r>
    </w:p>
    <w:p w14:paraId="4651677C">
      <w:pPr>
        <w:pStyle w:val="2"/>
        <w:keepNext w:val="0"/>
        <w:keepLines w:val="0"/>
        <w:pageBreakBefore w:val="0"/>
        <w:widowControl w:val="0"/>
        <w:kinsoku/>
        <w:wordWrap/>
        <w:overflowPunct/>
        <w:topLinePunct w:val="0"/>
        <w:bidi w:val="0"/>
        <w:snapToGrid/>
        <w:spacing w:after="0" w:line="64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七、对</w:t>
      </w:r>
      <w:r>
        <w:rPr>
          <w:rFonts w:hint="eastAsia" w:ascii="仿宋_GB2312" w:hAnsi="仿宋_GB2312" w:eastAsia="仿宋_GB2312" w:cs="仿宋_GB2312"/>
          <w:sz w:val="32"/>
          <w:szCs w:val="32"/>
          <w:highlight w:val="none"/>
        </w:rPr>
        <w:t>《条例（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w:t>
      </w:r>
      <w:r>
        <w:rPr>
          <w:rFonts w:hint="eastAsia" w:ascii="仿宋_GB2312" w:hAnsi="仿宋_GB2312" w:eastAsia="仿宋_GB2312" w:cs="仿宋_GB2312"/>
          <w:sz w:val="32"/>
          <w:szCs w:val="32"/>
          <w:highlight w:val="none"/>
          <w:lang w:val="en-US" w:eastAsia="zh-CN"/>
        </w:rPr>
        <w:t>部分条款进行技术性修改。</w:t>
      </w:r>
    </w:p>
    <w:p w14:paraId="3B8AC2CD">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jc w:val="both"/>
        <w:textAlignment w:val="auto"/>
        <w:rPr>
          <w:rFonts w:hint="eastAsia" w:ascii="仿宋_GB2312" w:hAnsi="仿宋_GB2312" w:eastAsia="仿宋_GB2312" w:cs="仿宋_GB2312"/>
          <w:kern w:val="0"/>
          <w:sz w:val="32"/>
          <w:szCs w:val="32"/>
          <w:highlight w:val="none"/>
          <w:u w:val="none"/>
        </w:rPr>
      </w:pPr>
      <w:r>
        <w:rPr>
          <w:rFonts w:hint="eastAsia" w:ascii="仿宋_GB2312" w:hAnsi="仿宋_GB2312" w:eastAsia="仿宋_GB2312" w:cs="仿宋_GB2312"/>
          <w:sz w:val="32"/>
          <w:szCs w:val="32"/>
          <w:highlight w:val="none"/>
        </w:rPr>
        <w:t>法制委员会认为，修改后的《条例（</w:t>
      </w:r>
      <w:r>
        <w:rPr>
          <w:rFonts w:hint="eastAsia" w:ascii="仿宋_GB2312" w:hAnsi="仿宋_GB2312" w:eastAsia="仿宋_GB2312" w:cs="仿宋_GB2312"/>
          <w:sz w:val="32"/>
          <w:szCs w:val="32"/>
          <w:highlight w:val="none"/>
          <w:lang w:val="en-US" w:eastAsia="zh-CN"/>
        </w:rPr>
        <w:t>修订</w:t>
      </w:r>
      <w:r>
        <w:rPr>
          <w:rFonts w:hint="eastAsia" w:ascii="仿宋_GB2312" w:hAnsi="仿宋_GB2312" w:eastAsia="仿宋_GB2312" w:cs="仿宋_GB2312"/>
          <w:sz w:val="32"/>
          <w:szCs w:val="32"/>
          <w:highlight w:val="none"/>
        </w:rPr>
        <w:t>草案）》结构更加完整，语言表述更加规范，符合我市实际和有关法律法规规定，有较强的可操作性，已基本成熟，建议</w:t>
      </w:r>
      <w:r>
        <w:rPr>
          <w:rFonts w:hint="eastAsia" w:ascii="仿宋_GB2312" w:hAnsi="仿宋_GB2312" w:eastAsia="仿宋_GB2312" w:cs="仿宋_GB2312"/>
          <w:sz w:val="32"/>
          <w:szCs w:val="32"/>
          <w:highlight w:val="none"/>
          <w:lang w:val="en-US" w:eastAsia="zh-CN"/>
        </w:rPr>
        <w:t>本次</w:t>
      </w:r>
      <w:r>
        <w:rPr>
          <w:rFonts w:hint="eastAsia" w:ascii="仿宋_GB2312" w:hAnsi="仿宋_GB2312" w:eastAsia="仿宋_GB2312" w:cs="仿宋_GB2312"/>
          <w:sz w:val="32"/>
          <w:szCs w:val="32"/>
          <w:highlight w:val="none"/>
        </w:rPr>
        <w:t>市人大常委会会议</w:t>
      </w:r>
      <w:r>
        <w:rPr>
          <w:rFonts w:hint="eastAsia" w:ascii="仿宋_GB2312" w:hAnsi="仿宋_GB2312" w:eastAsia="仿宋_GB2312" w:cs="仿宋_GB2312"/>
          <w:sz w:val="32"/>
          <w:szCs w:val="32"/>
          <w:highlight w:val="none"/>
          <w:lang w:val="en-US" w:eastAsia="zh-CN"/>
        </w:rPr>
        <w:t>审议通过</w:t>
      </w:r>
      <w:r>
        <w:rPr>
          <w:rFonts w:hint="eastAsia" w:ascii="仿宋_GB2312" w:hAnsi="仿宋_GB2312" w:eastAsia="仿宋_GB2312" w:cs="仿宋_GB2312"/>
          <w:sz w:val="32"/>
          <w:szCs w:val="32"/>
          <w:highlight w:val="none"/>
        </w:rPr>
        <w:t>。</w:t>
      </w:r>
    </w:p>
    <w:p w14:paraId="1B9BB815">
      <w:pPr>
        <w:keepNext w:val="0"/>
        <w:keepLines w:val="0"/>
        <w:pageBreakBefore w:val="0"/>
        <w:widowControl w:val="0"/>
        <w:kinsoku/>
        <w:wordWrap/>
        <w:overflowPunct/>
        <w:topLinePunct w:val="0"/>
        <w:autoSpaceDE w:val="0"/>
        <w:autoSpaceDN w:val="0"/>
        <w:bidi w:val="0"/>
        <w:adjustRightInd w:val="0"/>
        <w:snapToGrid/>
        <w:spacing w:line="640" w:lineRule="exact"/>
        <w:ind w:firstLine="640" w:firstLineChars="200"/>
        <w:textAlignment w:val="auto"/>
        <w:rPr>
          <w:rFonts w:hint="eastAsia"/>
          <w:highlight w:val="none"/>
        </w:rPr>
      </w:pPr>
      <w:r>
        <w:rPr>
          <w:rFonts w:hint="eastAsia" w:ascii="仿宋_GB2312" w:hAnsi="仿宋_GB2312" w:eastAsia="仿宋_GB2312" w:cs="仿宋_GB2312"/>
          <w:kern w:val="0"/>
          <w:sz w:val="32"/>
          <w:szCs w:val="32"/>
          <w:highlight w:val="none"/>
        </w:rPr>
        <w:t>以上报告</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连同《条例（</w:t>
      </w:r>
      <w:r>
        <w:rPr>
          <w:rFonts w:hint="eastAsia" w:ascii="仿宋_GB2312" w:hAnsi="仿宋_GB2312" w:eastAsia="仿宋_GB2312" w:cs="仿宋_GB2312"/>
          <w:kern w:val="0"/>
          <w:sz w:val="32"/>
          <w:szCs w:val="32"/>
          <w:highlight w:val="none"/>
          <w:lang w:val="en-US" w:eastAsia="zh-CN"/>
        </w:rPr>
        <w:t>修订草案</w:t>
      </w:r>
      <w:r>
        <w:rPr>
          <w:rFonts w:hint="eastAsia" w:ascii="仿宋_GB2312" w:hAnsi="仿宋_GB2312" w:eastAsia="仿宋_GB2312" w:cs="仿宋_GB2312"/>
          <w:kern w:val="0"/>
          <w:sz w:val="32"/>
          <w:szCs w:val="32"/>
          <w:highlight w:val="none"/>
        </w:rPr>
        <w:t>）》</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修改稿</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请一并予以</w:t>
      </w:r>
      <w:r>
        <w:rPr>
          <w:rFonts w:hint="eastAsia" w:ascii="仿宋_GB2312" w:hAnsi="仿宋_GB2312" w:eastAsia="仿宋_GB2312" w:cs="仿宋_GB2312"/>
          <w:kern w:val="0"/>
          <w:sz w:val="32"/>
          <w:szCs w:val="32"/>
          <w:highlight w:val="none"/>
          <w:lang w:val="en-US" w:eastAsia="zh-CN"/>
        </w:rPr>
        <w:t>审议</w:t>
      </w:r>
      <w:r>
        <w:rPr>
          <w:rFonts w:hint="eastAsia" w:ascii="仿宋_GB2312" w:hAnsi="仿宋_GB2312" w:eastAsia="仿宋_GB2312" w:cs="仿宋_GB2312"/>
          <w:kern w:val="0"/>
          <w:sz w:val="32"/>
          <w:szCs w:val="32"/>
          <w:highlight w:val="none"/>
        </w:rPr>
        <w:t>。</w:t>
      </w:r>
    </w:p>
    <w:p w14:paraId="5EA97CD9">
      <w:pPr>
        <w:spacing w:line="560" w:lineRule="exact"/>
        <w:ind w:firstLine="880" w:firstLineChars="200"/>
        <w:rPr>
          <w:rFonts w:hint="default" w:ascii="方正小标宋简体" w:hAnsi="方正小标宋简体" w:eastAsia="方正小标宋简体" w:cs="方正小标宋简体"/>
          <w:b w:val="0"/>
          <w:bCs w:val="0"/>
          <w:color w:val="000000"/>
          <w:sz w:val="44"/>
          <w:szCs w:val="44"/>
          <w:highlight w:val="none"/>
          <w:lang w:val="en-US" w:eastAsia="zh-CN"/>
        </w:rPr>
      </w:pPr>
    </w:p>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仿宋_GBK">
    <w:altName w:val="微软雅黑"/>
    <w:panose1 w:val="02000000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FZKTK--GBK1-0">
    <w:altName w:val="仿宋"/>
    <w:panose1 w:val="00000000000000000000"/>
    <w:charset w:val="86"/>
    <w:family w:val="auto"/>
    <w:pitch w:val="default"/>
    <w:sig w:usb0="00000000" w:usb1="00000000" w:usb2="00000010" w:usb3="00000000" w:csb0="00040000" w:csb1="00000000"/>
  </w:font>
  <w:font w:name="FZFSK--GBK1-0">
    <w:altName w:val="仿宋"/>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46FF5">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0A8F1C">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A0A8F1C">
                    <w:pPr>
                      <w:pStyle w:val="5"/>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  \* MERGEFORMAT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A9044">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ZmY4YTI1MDE4ZTU2ZGU5YjY0MWQ2M2FjMTY3OTQifQ=="/>
  </w:docVars>
  <w:rsids>
    <w:rsidRoot w:val="00000000"/>
    <w:rsid w:val="017024A6"/>
    <w:rsid w:val="02296E92"/>
    <w:rsid w:val="031A67DB"/>
    <w:rsid w:val="0328714A"/>
    <w:rsid w:val="05F24791"/>
    <w:rsid w:val="065D48BF"/>
    <w:rsid w:val="069074E0"/>
    <w:rsid w:val="0696086E"/>
    <w:rsid w:val="075C3866"/>
    <w:rsid w:val="078D1C71"/>
    <w:rsid w:val="078E1545"/>
    <w:rsid w:val="08CB2A51"/>
    <w:rsid w:val="08F91538"/>
    <w:rsid w:val="0B8D0492"/>
    <w:rsid w:val="0C42214A"/>
    <w:rsid w:val="0C5910CD"/>
    <w:rsid w:val="0C880C59"/>
    <w:rsid w:val="0D1C38BF"/>
    <w:rsid w:val="0D614FDC"/>
    <w:rsid w:val="0EFE0954"/>
    <w:rsid w:val="10542CE3"/>
    <w:rsid w:val="11C63572"/>
    <w:rsid w:val="12F708E7"/>
    <w:rsid w:val="131B1EE8"/>
    <w:rsid w:val="147014A9"/>
    <w:rsid w:val="147E4D56"/>
    <w:rsid w:val="14F40F59"/>
    <w:rsid w:val="16B55AB3"/>
    <w:rsid w:val="17DD3298"/>
    <w:rsid w:val="18395AB4"/>
    <w:rsid w:val="194F4FD8"/>
    <w:rsid w:val="197401F7"/>
    <w:rsid w:val="19821047"/>
    <w:rsid w:val="19D159ED"/>
    <w:rsid w:val="1B9C027D"/>
    <w:rsid w:val="1BB6133F"/>
    <w:rsid w:val="1BF65BDF"/>
    <w:rsid w:val="1C16002F"/>
    <w:rsid w:val="1D82753E"/>
    <w:rsid w:val="1F4310EA"/>
    <w:rsid w:val="1FA85442"/>
    <w:rsid w:val="22A16179"/>
    <w:rsid w:val="22E076DB"/>
    <w:rsid w:val="23030668"/>
    <w:rsid w:val="2378337E"/>
    <w:rsid w:val="24286B52"/>
    <w:rsid w:val="24765B0F"/>
    <w:rsid w:val="24B10ECF"/>
    <w:rsid w:val="25184E18"/>
    <w:rsid w:val="257A3747"/>
    <w:rsid w:val="25B032A3"/>
    <w:rsid w:val="26920BFA"/>
    <w:rsid w:val="2800555B"/>
    <w:rsid w:val="29804D3A"/>
    <w:rsid w:val="2A497822"/>
    <w:rsid w:val="2C9F7BCD"/>
    <w:rsid w:val="2CDA0C05"/>
    <w:rsid w:val="2FD162F0"/>
    <w:rsid w:val="31061FC9"/>
    <w:rsid w:val="3112074B"/>
    <w:rsid w:val="317B37F2"/>
    <w:rsid w:val="31A74DF6"/>
    <w:rsid w:val="31B148E3"/>
    <w:rsid w:val="324A2389"/>
    <w:rsid w:val="327A53A7"/>
    <w:rsid w:val="32B67A1F"/>
    <w:rsid w:val="33346287"/>
    <w:rsid w:val="337714DF"/>
    <w:rsid w:val="33847E40"/>
    <w:rsid w:val="33AB0967"/>
    <w:rsid w:val="344EDE6F"/>
    <w:rsid w:val="35F40F8A"/>
    <w:rsid w:val="368A71F8"/>
    <w:rsid w:val="37CA6A6A"/>
    <w:rsid w:val="39227BBC"/>
    <w:rsid w:val="39CC2C38"/>
    <w:rsid w:val="3A453CB4"/>
    <w:rsid w:val="3AE96685"/>
    <w:rsid w:val="3AFD5839"/>
    <w:rsid w:val="3CCD0E30"/>
    <w:rsid w:val="3DFD0F64"/>
    <w:rsid w:val="3E100D11"/>
    <w:rsid w:val="3EA6303D"/>
    <w:rsid w:val="42740B93"/>
    <w:rsid w:val="431C1B20"/>
    <w:rsid w:val="432A7D99"/>
    <w:rsid w:val="43571E00"/>
    <w:rsid w:val="43707776"/>
    <w:rsid w:val="45120AE5"/>
    <w:rsid w:val="457A664F"/>
    <w:rsid w:val="46562F34"/>
    <w:rsid w:val="475E60EC"/>
    <w:rsid w:val="47705F96"/>
    <w:rsid w:val="47A55FDD"/>
    <w:rsid w:val="48151F13"/>
    <w:rsid w:val="495F2766"/>
    <w:rsid w:val="498E61F9"/>
    <w:rsid w:val="4AF78623"/>
    <w:rsid w:val="4B4B222B"/>
    <w:rsid w:val="4BBFFAC0"/>
    <w:rsid w:val="4C490AA3"/>
    <w:rsid w:val="4C602A7D"/>
    <w:rsid w:val="4D387556"/>
    <w:rsid w:val="4EE74D90"/>
    <w:rsid w:val="4F0F2539"/>
    <w:rsid w:val="4F2558B8"/>
    <w:rsid w:val="506750B2"/>
    <w:rsid w:val="52E92763"/>
    <w:rsid w:val="53DA3115"/>
    <w:rsid w:val="54686973"/>
    <w:rsid w:val="54EB1352"/>
    <w:rsid w:val="5557FAAD"/>
    <w:rsid w:val="5575F4A0"/>
    <w:rsid w:val="56244B1C"/>
    <w:rsid w:val="56B45916"/>
    <w:rsid w:val="56B86624"/>
    <w:rsid w:val="58093FC9"/>
    <w:rsid w:val="58545C88"/>
    <w:rsid w:val="58675AA5"/>
    <w:rsid w:val="58EF7663"/>
    <w:rsid w:val="590B5B1F"/>
    <w:rsid w:val="5A147441"/>
    <w:rsid w:val="5A6E2809"/>
    <w:rsid w:val="5A7B1946"/>
    <w:rsid w:val="5B593340"/>
    <w:rsid w:val="5B9E04F2"/>
    <w:rsid w:val="5C050F4B"/>
    <w:rsid w:val="5DBC65C4"/>
    <w:rsid w:val="5DDB09C5"/>
    <w:rsid w:val="5E874037"/>
    <w:rsid w:val="5E940365"/>
    <w:rsid w:val="5EF5BE17"/>
    <w:rsid w:val="603D1E29"/>
    <w:rsid w:val="60925DBA"/>
    <w:rsid w:val="6142054C"/>
    <w:rsid w:val="61A46B11"/>
    <w:rsid w:val="62031A89"/>
    <w:rsid w:val="62FF7307"/>
    <w:rsid w:val="636138D1"/>
    <w:rsid w:val="63BC6393"/>
    <w:rsid w:val="63E72046"/>
    <w:rsid w:val="640C2CBB"/>
    <w:rsid w:val="64970BAF"/>
    <w:rsid w:val="656211BC"/>
    <w:rsid w:val="66453C62"/>
    <w:rsid w:val="66884C53"/>
    <w:rsid w:val="669435F8"/>
    <w:rsid w:val="6852376A"/>
    <w:rsid w:val="68BC0BE4"/>
    <w:rsid w:val="68D33700"/>
    <w:rsid w:val="68DE6DAC"/>
    <w:rsid w:val="69FC398E"/>
    <w:rsid w:val="6A3A1649"/>
    <w:rsid w:val="6AFC217D"/>
    <w:rsid w:val="6B323420"/>
    <w:rsid w:val="6BB82628"/>
    <w:rsid w:val="6CC0692E"/>
    <w:rsid w:val="6CC94F62"/>
    <w:rsid w:val="6D7F33E4"/>
    <w:rsid w:val="6DBFB7ED"/>
    <w:rsid w:val="6DFBEC17"/>
    <w:rsid w:val="6DFD176F"/>
    <w:rsid w:val="6E2C05BA"/>
    <w:rsid w:val="6E3631E6"/>
    <w:rsid w:val="6FA128E1"/>
    <w:rsid w:val="70994C71"/>
    <w:rsid w:val="71402866"/>
    <w:rsid w:val="717C0A3F"/>
    <w:rsid w:val="72A441A2"/>
    <w:rsid w:val="72B8066E"/>
    <w:rsid w:val="73C117A4"/>
    <w:rsid w:val="74237D69"/>
    <w:rsid w:val="754435C9"/>
    <w:rsid w:val="75596138"/>
    <w:rsid w:val="770D7503"/>
    <w:rsid w:val="782A5B6A"/>
    <w:rsid w:val="792702FB"/>
    <w:rsid w:val="79DF1571"/>
    <w:rsid w:val="79F98E11"/>
    <w:rsid w:val="7A9B68AB"/>
    <w:rsid w:val="7AAA212D"/>
    <w:rsid w:val="7ABD2CC5"/>
    <w:rsid w:val="7AE26233"/>
    <w:rsid w:val="7AFEBA8E"/>
    <w:rsid w:val="7B8C08E9"/>
    <w:rsid w:val="7BFED871"/>
    <w:rsid w:val="7C4C18BB"/>
    <w:rsid w:val="7CB54AE3"/>
    <w:rsid w:val="7CB93960"/>
    <w:rsid w:val="7CFEE43C"/>
    <w:rsid w:val="7DDFE7E8"/>
    <w:rsid w:val="7DE93BF1"/>
    <w:rsid w:val="7DF722AE"/>
    <w:rsid w:val="7E3D2A6A"/>
    <w:rsid w:val="7E4C6E7E"/>
    <w:rsid w:val="7E835FD4"/>
    <w:rsid w:val="7E9975A5"/>
    <w:rsid w:val="7EA55271"/>
    <w:rsid w:val="7EBDA1F5"/>
    <w:rsid w:val="7EFF985A"/>
    <w:rsid w:val="7F5B1AA4"/>
    <w:rsid w:val="7F73759B"/>
    <w:rsid w:val="7F7A806D"/>
    <w:rsid w:val="8BF76FDA"/>
    <w:rsid w:val="8FCFB33B"/>
    <w:rsid w:val="8FDE847E"/>
    <w:rsid w:val="97DBC996"/>
    <w:rsid w:val="9B0FF86A"/>
    <w:rsid w:val="AE6F3368"/>
    <w:rsid w:val="BBA345FA"/>
    <w:rsid w:val="BDFD107D"/>
    <w:rsid w:val="BEEF9A5C"/>
    <w:rsid w:val="CEB7ACBE"/>
    <w:rsid w:val="D747AE94"/>
    <w:rsid w:val="DAF7EA3E"/>
    <w:rsid w:val="DAFA884D"/>
    <w:rsid w:val="EBFF8B6D"/>
    <w:rsid w:val="EF075C02"/>
    <w:rsid w:val="EF3DD796"/>
    <w:rsid w:val="EF4F8D5F"/>
    <w:rsid w:val="EFF6172B"/>
    <w:rsid w:val="F3EFC6AA"/>
    <w:rsid w:val="F6EF3DD2"/>
    <w:rsid w:val="F76F5DE5"/>
    <w:rsid w:val="F7BF4C59"/>
    <w:rsid w:val="FBDA3565"/>
    <w:rsid w:val="FECC059D"/>
    <w:rsid w:val="FF47991F"/>
    <w:rsid w:val="FF5F2064"/>
    <w:rsid w:val="FF5FFBDB"/>
    <w:rsid w:val="FF6B85FD"/>
    <w:rsid w:val="FFD3F4E7"/>
    <w:rsid w:val="FFE68423"/>
    <w:rsid w:val="FFEFFF25"/>
    <w:rsid w:val="FFFBD6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before="0" w:after="140" w:line="276" w:lineRule="auto"/>
    </w:pPr>
  </w:style>
  <w:style w:type="paragraph" w:styleId="3">
    <w:name w:val="Title"/>
    <w:basedOn w:val="1"/>
    <w:next w:val="1"/>
    <w:qFormat/>
    <w:uiPriority w:val="0"/>
    <w:pPr>
      <w:spacing w:before="240" w:after="60"/>
      <w:jc w:val="center"/>
      <w:outlineLvl w:val="0"/>
    </w:pPr>
    <w:rPr>
      <w:rFonts w:ascii="Cambria" w:hAnsi="Cambria"/>
      <w:b/>
      <w:bCs/>
      <w:szCs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next w:val="7"/>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引用1"/>
    <w:basedOn w:val="1"/>
    <w:next w:val="1"/>
    <w:qFormat/>
    <w:uiPriority w:val="99"/>
    <w:pPr>
      <w:ind w:left="864" w:right="864"/>
      <w:jc w:val="center"/>
    </w:pPr>
    <w:rPr>
      <w:i/>
      <w:iCs/>
      <w:color w:val="000000"/>
    </w:rPr>
  </w:style>
  <w:style w:type="paragraph" w:styleId="8">
    <w:name w:val="HTML Preformatted"/>
    <w:basedOn w:val="1"/>
    <w:qFormat/>
    <w:uiPriority w:val="0"/>
    <w:pPr>
      <w:widowControl/>
      <w:jc w:val="left"/>
    </w:pPr>
    <w:rPr>
      <w:rFonts w:ascii="宋体" w:hAnsi="宋体" w:cs="宋体"/>
      <w:kern w:val="0"/>
      <w:sz w:val="24"/>
      <w:szCs w:val="24"/>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2"/>
    <w:qFormat/>
    <w:uiPriority w:val="0"/>
    <w:pPr>
      <w:spacing w:after="0"/>
      <w:ind w:firstLine="1040"/>
    </w:pPr>
    <w:rPr>
      <w:rFonts w:eastAsia="宋体"/>
      <w:sz w:val="28"/>
    </w:rPr>
  </w:style>
  <w:style w:type="character" w:styleId="13">
    <w:name w:val="Strong"/>
    <w:qFormat/>
    <w:uiPriority w:val="0"/>
    <w:rPr>
      <w:b/>
    </w:rPr>
  </w:style>
  <w:style w:type="paragraph" w:customStyle="1" w:styleId="14">
    <w:name w:val="Normal Indent"/>
    <w:basedOn w:val="1"/>
    <w:qFormat/>
    <w:uiPriority w:val="0"/>
    <w:pPr>
      <w:ind w:firstLine="420"/>
    </w:pPr>
    <w:rPr>
      <w:rFonts w:ascii="Times New Roman" w:hAnsi="Times New Roman" w:eastAsia="宋体" w:cs="Times New Roman"/>
    </w:rPr>
  </w:style>
  <w:style w:type="paragraph" w:customStyle="1" w:styleId="15">
    <w:name w:val="Normal Indent1"/>
    <w:basedOn w:val="1"/>
    <w:qFormat/>
    <w:uiPriority w:val="0"/>
    <w:pPr>
      <w:ind w:firstLine="420"/>
    </w:pPr>
    <w:rPr>
      <w:rFonts w:ascii="Times New Roman" w:hAnsi="Times New Roman" w:eastAsia="宋体" w:cs="Times New Roman"/>
    </w:rPr>
  </w:style>
  <w:style w:type="character" w:customStyle="1" w:styleId="16">
    <w:name w:val="font01"/>
    <w:basedOn w:val="12"/>
    <w:qFormat/>
    <w:uiPriority w:val="0"/>
    <w:rPr>
      <w:rFonts w:hint="eastAsia" w:ascii="宋体" w:hAnsi="宋体" w:eastAsia="宋体" w:cs="宋体"/>
      <w:color w:val="000000"/>
      <w:sz w:val="22"/>
      <w:szCs w:val="22"/>
      <w:u w:val="none"/>
    </w:rPr>
  </w:style>
  <w:style w:type="paragraph" w:customStyle="1" w:styleId="17">
    <w:name w:val="doc-a"/>
    <w:basedOn w:val="1"/>
    <w:qFormat/>
    <w:uiPriority w:val="0"/>
    <w:pPr>
      <w:spacing w:before="100" w:beforeAutospacing="1" w:after="100" w:afterAutospacing="1"/>
    </w:pPr>
  </w:style>
  <w:style w:type="paragraph" w:customStyle="1" w:styleId="18">
    <w:name w:val="cntitle"/>
    <w:basedOn w:val="1"/>
    <w:qFormat/>
    <w:uiPriority w:val="0"/>
    <w:pPr>
      <w:spacing w:before="100" w:beforeAutospacing="1" w:after="100" w:afterAutospacing="1"/>
    </w:pPr>
  </w:style>
  <w:style w:type="paragraph" w:customStyle="1" w:styleId="19">
    <w:name w:val="Default"/>
    <w:qFormat/>
    <w:uiPriority w:val="0"/>
    <w:pPr>
      <w:widowControl w:val="0"/>
      <w:autoSpaceDE w:val="0"/>
      <w:autoSpaceDN w:val="0"/>
      <w:adjustRightInd w:val="0"/>
    </w:pPr>
    <w:rPr>
      <w:rFonts w:ascii="方正仿宋_GBK" w:hAnsi="方正仿宋_GBK" w:eastAsia="仿宋_GB2312"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4522</Words>
  <Characters>4595</Characters>
  <Lines>0</Lines>
  <Paragraphs>0</Paragraphs>
  <TotalTime>3</TotalTime>
  <ScaleCrop>false</ScaleCrop>
  <LinksUpToDate>false</LinksUpToDate>
  <CharactersWithSpaces>4653</CharactersWithSpaces>
  <Application>WPS Office_12.8.2.19823_F1E327BC-269C-435d-A152-05C5408002CA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2023-10-27T09:31:00Z</dcterms:created>
  <dc:creator>Administrator</dc:creator>
  <cp:lastModifiedBy>admin</cp:lastModifiedBy>
  <cp:lastPrinted>2025-04-01T07:43:00Z</cp:lastPrinted>
  <dcterms:modified xsi:type="dcterms:W3CDTF">2025-04-04T02:06:30Z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2052-12.8.2.19823</vt:lpwstr>
  </property>
  <property fmtid="{D5CDD505-2E9C-101B-9397-08002B2CF9AE}" pid="3" name="ICV">
    <vt:lpwstr>FC27FDECB5D84188A8E3F8F028C2E1E2_13</vt:lpwstr>
  </property>
  <property fmtid="{D5CDD505-2E9C-101B-9397-08002B2CF9AE}" pid="4" name="KSOTemplateDocerSaveRecord">
    <vt:lpwstr>eyJoZGlkIjoiZGU2ZWRkMTFlMGIwODdlZDIzYTRiYWZkOWJjMjA4YjQiLCJ1c2VySWQiOiIxMjIzODAwMzI5In0=</vt:lpwstr>
  </property>
</Properties>
</file>